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6EA" w:rsidRDefault="00174F85" w:rsidP="00343B56">
      <w:pPr>
        <w:pStyle w:val="NormalWeb"/>
        <w:spacing w:before="0" w:beforeAutospacing="0" w:after="0" w:afterAutospacing="0" w:line="312" w:lineRule="auto"/>
        <w:jc w:val="center"/>
        <w:rPr>
          <w:b/>
          <w:bCs/>
          <w:sz w:val="32"/>
          <w:szCs w:val="32"/>
        </w:rPr>
      </w:pPr>
      <w:r w:rsidRPr="00343034">
        <w:rPr>
          <w:b/>
          <w:bCs/>
          <w:sz w:val="32"/>
          <w:szCs w:val="32"/>
        </w:rPr>
        <w:t xml:space="preserve">Student Dropout Trends in </w:t>
      </w:r>
      <w:r w:rsidR="00205B99" w:rsidRPr="00343034">
        <w:rPr>
          <w:b/>
          <w:bCs/>
          <w:sz w:val="32"/>
          <w:szCs w:val="32"/>
        </w:rPr>
        <w:t>Higher Education</w:t>
      </w:r>
      <w:r w:rsidRPr="00343034">
        <w:rPr>
          <w:b/>
          <w:bCs/>
          <w:sz w:val="32"/>
          <w:szCs w:val="32"/>
        </w:rPr>
        <w:t xml:space="preserve"> of Nepal: A Case Study of Baneshwor Multiple Campus</w:t>
      </w:r>
    </w:p>
    <w:p w:rsidR="00343034" w:rsidRPr="00343034" w:rsidRDefault="00343034" w:rsidP="00343B56">
      <w:pPr>
        <w:pStyle w:val="NormalWeb"/>
        <w:spacing w:before="0" w:beforeAutospacing="0" w:after="0" w:afterAutospacing="0" w:line="312" w:lineRule="auto"/>
        <w:jc w:val="center"/>
        <w:rPr>
          <w:b/>
          <w:bCs/>
          <w:sz w:val="32"/>
          <w:szCs w:val="32"/>
        </w:rPr>
      </w:pPr>
    </w:p>
    <w:p w:rsidR="00171917" w:rsidRPr="00E54F95" w:rsidRDefault="00171917" w:rsidP="00343034">
      <w:pPr>
        <w:pStyle w:val="NormalWeb"/>
        <w:spacing w:before="0" w:beforeAutospacing="0" w:after="0" w:afterAutospacing="0" w:line="312" w:lineRule="auto"/>
        <w:jc w:val="center"/>
        <w:rPr>
          <w:b/>
          <w:bCs/>
          <w:sz w:val="26"/>
        </w:rPr>
      </w:pPr>
      <w:r w:rsidRPr="00E54F95">
        <w:rPr>
          <w:b/>
          <w:bCs/>
          <w:sz w:val="26"/>
        </w:rPr>
        <w:t>Rameshwor Kafle</w:t>
      </w:r>
    </w:p>
    <w:p w:rsidR="00E427DB" w:rsidRPr="00941C96" w:rsidRDefault="00E427DB" w:rsidP="00343034">
      <w:pPr>
        <w:pStyle w:val="NormalWeb"/>
        <w:spacing w:before="0" w:beforeAutospacing="0" w:after="0" w:afterAutospacing="0" w:line="312" w:lineRule="auto"/>
        <w:jc w:val="center"/>
      </w:pPr>
      <w:r w:rsidRPr="00941C96">
        <w:t>Associate professor</w:t>
      </w:r>
    </w:p>
    <w:p w:rsidR="00E427DB" w:rsidRPr="00941C96" w:rsidRDefault="00E427DB" w:rsidP="00343034">
      <w:pPr>
        <w:pStyle w:val="NormalWeb"/>
        <w:spacing w:before="0" w:beforeAutospacing="0" w:after="0" w:afterAutospacing="0" w:line="312" w:lineRule="auto"/>
        <w:jc w:val="center"/>
      </w:pPr>
      <w:r w:rsidRPr="00941C96">
        <w:t>Baneshwor M</w:t>
      </w:r>
      <w:r w:rsidR="00343034" w:rsidRPr="00941C96">
        <w:t>ultiple</w:t>
      </w:r>
      <w:r w:rsidRPr="00941C96">
        <w:t xml:space="preserve"> Campus</w:t>
      </w:r>
      <w:r w:rsidR="00343034" w:rsidRPr="00941C96">
        <w:t>, Kathmandu, Nepal</w:t>
      </w:r>
    </w:p>
    <w:p w:rsidR="00093F74" w:rsidRPr="00941C96" w:rsidRDefault="0005708E" w:rsidP="00343034">
      <w:pPr>
        <w:pStyle w:val="NormalWeb"/>
        <w:spacing w:before="0" w:beforeAutospacing="0" w:after="0" w:afterAutospacing="0" w:line="312" w:lineRule="auto"/>
        <w:jc w:val="center"/>
        <w:rPr>
          <w:rStyle w:val="Hyperlink"/>
        </w:rPr>
      </w:pPr>
      <w:hyperlink r:id="rId8" w:history="1">
        <w:r w:rsidR="00343034" w:rsidRPr="00941C96">
          <w:rPr>
            <w:rStyle w:val="Hyperlink"/>
          </w:rPr>
          <w:t>baneshworkafle@gmail.com</w:t>
        </w:r>
      </w:hyperlink>
    </w:p>
    <w:p w:rsidR="00E427DB" w:rsidRPr="00941C96" w:rsidRDefault="00941C96" w:rsidP="00343034">
      <w:pPr>
        <w:pStyle w:val="NormalWeb"/>
        <w:spacing w:before="0" w:beforeAutospacing="0" w:after="0" w:afterAutospacing="0" w:line="312" w:lineRule="auto"/>
        <w:jc w:val="center"/>
      </w:pPr>
      <w:hyperlink r:id="rId9" w:tgtFrame="_blank" w:history="1">
        <w:r w:rsidRPr="00941C96">
          <w:rPr>
            <w:rStyle w:val="Hyperlink"/>
            <w:color w:val="1155CC"/>
            <w:shd w:val="clear" w:color="auto" w:fill="FFFFFF"/>
          </w:rPr>
          <w:t>https://orcid.org/0009-0000-2124-9196</w:t>
        </w:r>
      </w:hyperlink>
      <w:r w:rsidR="00343034" w:rsidRPr="00941C96">
        <w:t xml:space="preserve"> </w:t>
      </w:r>
    </w:p>
    <w:p w:rsidR="006C7E43" w:rsidRPr="00C32B55" w:rsidRDefault="006C7E43" w:rsidP="006C7E43">
      <w:pPr>
        <w:jc w:val="center"/>
        <w:rPr>
          <w:b/>
          <w:bCs/>
          <w:sz w:val="24"/>
          <w:szCs w:val="24"/>
          <w:u w:val="single"/>
        </w:rPr>
      </w:pPr>
    </w:p>
    <w:p w:rsidR="006C7E43" w:rsidRPr="006C7E43" w:rsidRDefault="006C7E43" w:rsidP="006C7E43">
      <w:pPr>
        <w:tabs>
          <w:tab w:val="center" w:pos="4066"/>
        </w:tabs>
        <w:spacing w:after="0"/>
        <w:ind w:right="29"/>
        <w:rPr>
          <w:rFonts w:ascii="Times New Roman" w:eastAsia="Cambria" w:hAnsi="Times New Roman"/>
          <w:bCs/>
          <w:sz w:val="24"/>
          <w:szCs w:val="28"/>
        </w:rPr>
      </w:pPr>
      <w:r w:rsidRPr="006C7E43">
        <w:rPr>
          <w:rFonts w:ascii="Times New Roman" w:eastAsia="Cambria" w:hAnsi="Times New Roman"/>
          <w:bCs/>
          <w:sz w:val="24"/>
          <w:szCs w:val="28"/>
        </w:rPr>
        <w:t xml:space="preserve">Received: </w:t>
      </w:r>
      <w:r>
        <w:rPr>
          <w:rFonts w:ascii="Times New Roman" w:eastAsia="Cambria" w:hAnsi="Times New Roman"/>
          <w:bCs/>
          <w:sz w:val="24"/>
          <w:szCs w:val="28"/>
        </w:rPr>
        <w:t>January</w:t>
      </w:r>
      <w:r w:rsidRPr="006C7E43">
        <w:rPr>
          <w:rFonts w:ascii="Times New Roman" w:eastAsia="Cambria" w:hAnsi="Times New Roman"/>
          <w:bCs/>
          <w:sz w:val="24"/>
          <w:szCs w:val="28"/>
        </w:rPr>
        <w:t xml:space="preserve"> </w:t>
      </w:r>
      <w:r>
        <w:rPr>
          <w:rFonts w:ascii="Times New Roman" w:eastAsia="Cambria" w:hAnsi="Times New Roman"/>
          <w:bCs/>
          <w:sz w:val="24"/>
          <w:szCs w:val="28"/>
        </w:rPr>
        <w:t>0</w:t>
      </w:r>
      <w:r w:rsidRPr="006C7E43">
        <w:rPr>
          <w:rFonts w:ascii="Times New Roman" w:eastAsia="Cambria" w:hAnsi="Times New Roman"/>
          <w:bCs/>
          <w:sz w:val="24"/>
          <w:szCs w:val="28"/>
        </w:rPr>
        <w:t>5, 202</w:t>
      </w:r>
      <w:r>
        <w:rPr>
          <w:rFonts w:ascii="Times New Roman" w:eastAsia="Cambria" w:hAnsi="Times New Roman"/>
          <w:bCs/>
          <w:sz w:val="24"/>
          <w:szCs w:val="28"/>
        </w:rPr>
        <w:t>4</w:t>
      </w:r>
      <w:r w:rsidRPr="006C7E43">
        <w:rPr>
          <w:rFonts w:ascii="Times New Roman" w:eastAsia="Cambria" w:hAnsi="Times New Roman"/>
          <w:bCs/>
          <w:sz w:val="24"/>
          <w:szCs w:val="28"/>
        </w:rPr>
        <w:tab/>
      </w:r>
      <w:r w:rsidRPr="006C7E43">
        <w:rPr>
          <w:rFonts w:ascii="Times New Roman" w:eastAsia="Cambria" w:hAnsi="Times New Roman"/>
          <w:bCs/>
          <w:sz w:val="24"/>
          <w:szCs w:val="28"/>
        </w:rPr>
        <w:tab/>
      </w:r>
      <w:r w:rsidRPr="006C7E43">
        <w:rPr>
          <w:rFonts w:ascii="Times New Roman" w:eastAsia="Cambria" w:hAnsi="Times New Roman"/>
          <w:bCs/>
          <w:sz w:val="24"/>
          <w:szCs w:val="28"/>
        </w:rPr>
        <w:tab/>
        <w:t xml:space="preserve"> </w:t>
      </w:r>
      <w:r w:rsidR="00EE2061">
        <w:rPr>
          <w:rFonts w:ascii="Times New Roman" w:eastAsia="Cambria" w:hAnsi="Times New Roman"/>
          <w:bCs/>
          <w:sz w:val="24"/>
          <w:szCs w:val="28"/>
        </w:rPr>
        <w:t>Revised &amp; Accepted: February 2</w:t>
      </w:r>
      <w:r w:rsidRPr="006C7E43">
        <w:rPr>
          <w:rFonts w:ascii="Times New Roman" w:eastAsia="Cambria" w:hAnsi="Times New Roman"/>
          <w:bCs/>
          <w:sz w:val="24"/>
          <w:szCs w:val="28"/>
        </w:rPr>
        <w:t>6, 2024</w:t>
      </w:r>
    </w:p>
    <w:p w:rsidR="006C7E43" w:rsidRPr="006C7E43" w:rsidRDefault="006C7E43" w:rsidP="006C7E43">
      <w:pPr>
        <w:tabs>
          <w:tab w:val="center" w:pos="4066"/>
        </w:tabs>
        <w:spacing w:after="0"/>
        <w:ind w:right="29"/>
        <w:rPr>
          <w:rFonts w:ascii="Times New Roman" w:eastAsia="Cambria" w:hAnsi="Times New Roman"/>
          <w:bCs/>
          <w:sz w:val="24"/>
          <w:szCs w:val="28"/>
        </w:rPr>
      </w:pPr>
      <w:r>
        <w:rPr>
          <w:rFonts w:ascii="Times New Roman" w:eastAsia="Cambria" w:hAnsi="Times New Roman"/>
          <w:bCs/>
          <w:sz w:val="24"/>
          <w:szCs w:val="28"/>
        </w:rPr>
        <w:t>Copyright:  Kafle</w:t>
      </w:r>
      <w:r w:rsidRPr="006C7E43">
        <w:rPr>
          <w:rFonts w:ascii="Times New Roman" w:eastAsia="Cambria" w:hAnsi="Times New Roman"/>
          <w:bCs/>
          <w:sz w:val="24"/>
          <w:szCs w:val="28"/>
        </w:rPr>
        <w:t xml:space="preserve"> (2024)</w:t>
      </w:r>
    </w:p>
    <w:p w:rsidR="006C7E43" w:rsidRPr="006C7E43" w:rsidRDefault="006C7E43" w:rsidP="006C7E43">
      <w:pPr>
        <w:tabs>
          <w:tab w:val="center" w:pos="4066"/>
        </w:tabs>
        <w:spacing w:after="0"/>
        <w:ind w:right="29"/>
        <w:jc w:val="right"/>
        <w:rPr>
          <w:rFonts w:ascii="Times New Roman" w:eastAsia="Cambria" w:hAnsi="Times New Roman"/>
          <w:bCs/>
          <w:sz w:val="24"/>
          <w:szCs w:val="28"/>
        </w:rPr>
      </w:pPr>
    </w:p>
    <w:p w:rsidR="006C7E43" w:rsidRPr="006C7E43" w:rsidRDefault="00821D8B" w:rsidP="006C7E43">
      <w:pPr>
        <w:tabs>
          <w:tab w:val="center" w:pos="4066"/>
        </w:tabs>
        <w:spacing w:after="0"/>
        <w:ind w:right="29"/>
        <w:rPr>
          <w:rFonts w:ascii="Times New Roman" w:eastAsia="Cambria" w:hAnsi="Times New Roman"/>
          <w:bCs/>
          <w:sz w:val="24"/>
          <w:szCs w:val="28"/>
          <w:lang w:eastAsia="en-GB" w:bidi="en-GB"/>
        </w:rPr>
      </w:pPr>
      <w:r w:rsidRPr="006C7E43">
        <w:rPr>
          <w:rFonts w:ascii="Times New Roman" w:hAnsi="Times New Roman"/>
          <w:noProof/>
          <w:sz w:val="24"/>
          <w:szCs w:val="28"/>
          <w:lang w:bidi="ne-NP"/>
        </w:rPr>
        <w:drawing>
          <wp:inline distT="0" distB="0" distL="0" distR="0">
            <wp:extent cx="628650" cy="219075"/>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8650" cy="219075"/>
                    </a:xfrm>
                    <a:prstGeom prst="rect">
                      <a:avLst/>
                    </a:prstGeom>
                    <a:noFill/>
                    <a:ln>
                      <a:noFill/>
                    </a:ln>
                  </pic:spPr>
                </pic:pic>
              </a:graphicData>
            </a:graphic>
          </wp:inline>
        </w:drawing>
      </w:r>
      <w:r w:rsidR="006C7E43" w:rsidRPr="006C7E43">
        <w:rPr>
          <w:rFonts w:ascii="Times New Roman" w:hAnsi="Times New Roman"/>
          <w:position w:val="1"/>
          <w:sz w:val="24"/>
          <w:szCs w:val="28"/>
        </w:rPr>
        <w:t xml:space="preserve"> </w:t>
      </w:r>
      <w:r w:rsidR="006C7E43" w:rsidRPr="006C7E43">
        <w:rPr>
          <w:rFonts w:ascii="Times New Roman" w:hAnsi="Times New Roman"/>
          <w:spacing w:val="2"/>
          <w:position w:val="1"/>
          <w:sz w:val="24"/>
          <w:szCs w:val="28"/>
        </w:rPr>
        <w:t xml:space="preserve"> </w:t>
      </w:r>
      <w:r w:rsidR="006C7E43" w:rsidRPr="006C7E43">
        <w:rPr>
          <w:rFonts w:ascii="Times New Roman" w:hAnsi="Times New Roman"/>
          <w:position w:val="1"/>
          <w:sz w:val="24"/>
          <w:szCs w:val="28"/>
        </w:rPr>
        <w:t xml:space="preserve">This work is licensed under a </w:t>
      </w:r>
      <w:hyperlink r:id="rId11">
        <w:r w:rsidR="006C7E43" w:rsidRPr="006C7E43">
          <w:rPr>
            <w:rFonts w:ascii="Times New Roman" w:hAnsi="Times New Roman"/>
            <w:position w:val="1"/>
            <w:sz w:val="24"/>
            <w:szCs w:val="28"/>
            <w:u w:val="single" w:color="006FC0"/>
          </w:rPr>
          <w:t>Creative Commons Attribution-Non Commercial 4.0</w:t>
        </w:r>
      </w:hyperlink>
      <w:r w:rsidR="006C7E43" w:rsidRPr="006C7E43">
        <w:rPr>
          <w:rFonts w:ascii="Times New Roman" w:hAnsi="Times New Roman"/>
          <w:position w:val="1"/>
          <w:sz w:val="24"/>
          <w:szCs w:val="28"/>
        </w:rPr>
        <w:t xml:space="preserve"> </w:t>
      </w:r>
      <w:hyperlink r:id="rId12">
        <w:r w:rsidR="006C7E43" w:rsidRPr="006C7E43">
          <w:rPr>
            <w:rFonts w:ascii="Times New Roman" w:hAnsi="Times New Roman"/>
            <w:sz w:val="24"/>
            <w:szCs w:val="28"/>
            <w:u w:val="single" w:color="006FC0"/>
          </w:rPr>
          <w:t xml:space="preserve">International </w:t>
        </w:r>
      </w:hyperlink>
      <w:r w:rsidR="006C7E43" w:rsidRPr="006C7E43">
        <w:rPr>
          <w:rFonts w:ascii="Times New Roman" w:hAnsi="Times New Roman"/>
          <w:sz w:val="24"/>
          <w:szCs w:val="28"/>
          <w:u w:val="single" w:color="006FC0"/>
        </w:rPr>
        <w:t>License</w:t>
      </w:r>
      <w:r w:rsidR="006C7E43" w:rsidRPr="006C7E43">
        <w:rPr>
          <w:rFonts w:ascii="Times New Roman" w:hAnsi="Times New Roman"/>
          <w:spacing w:val="2"/>
          <w:sz w:val="24"/>
          <w:szCs w:val="28"/>
          <w:u w:val="single" w:color="006FC0"/>
        </w:rPr>
        <w:t>.</w:t>
      </w:r>
    </w:p>
    <w:p w:rsidR="006C7E43" w:rsidRPr="006C7E43" w:rsidRDefault="006C7E43" w:rsidP="006C7E43">
      <w:pPr>
        <w:spacing w:after="0"/>
        <w:ind w:right="29"/>
        <w:rPr>
          <w:rFonts w:ascii="Times New Roman" w:hAnsi="Times New Roman"/>
          <w:kern w:val="36"/>
          <w:szCs w:val="24"/>
        </w:rPr>
      </w:pPr>
    </w:p>
    <w:p w:rsidR="006C7E43" w:rsidRPr="006C7E43" w:rsidRDefault="006C7E43" w:rsidP="006C7E43">
      <w:pPr>
        <w:spacing w:after="0"/>
        <w:rPr>
          <w:rFonts w:ascii="Times New Roman" w:hAnsi="Times New Roman"/>
          <w:b/>
          <w:bCs/>
          <w:sz w:val="28"/>
          <w:szCs w:val="28"/>
        </w:rPr>
      </w:pPr>
    </w:p>
    <w:p w:rsidR="006C7E43" w:rsidRPr="006C7E43" w:rsidRDefault="006C7E43" w:rsidP="006C7E43">
      <w:pPr>
        <w:spacing w:after="0"/>
        <w:rPr>
          <w:rFonts w:ascii="Times New Roman" w:hAnsi="Times New Roman"/>
          <w:b/>
          <w:bCs/>
          <w:sz w:val="28"/>
          <w:szCs w:val="28"/>
        </w:rPr>
      </w:pPr>
    </w:p>
    <w:p w:rsidR="0024758A" w:rsidRPr="00343034" w:rsidRDefault="00375599" w:rsidP="00343034">
      <w:pPr>
        <w:pStyle w:val="NormalWeb"/>
        <w:spacing w:before="0" w:beforeAutospacing="0" w:after="0" w:afterAutospacing="0" w:line="276" w:lineRule="auto"/>
        <w:jc w:val="both"/>
        <w:rPr>
          <w:b/>
          <w:sz w:val="28"/>
          <w:szCs w:val="28"/>
        </w:rPr>
      </w:pPr>
      <w:r w:rsidRPr="00343034">
        <w:rPr>
          <w:b/>
          <w:sz w:val="28"/>
          <w:szCs w:val="28"/>
        </w:rPr>
        <w:t>Abstract</w:t>
      </w:r>
    </w:p>
    <w:p w:rsidR="00496585" w:rsidRPr="00EC2653" w:rsidRDefault="00496585" w:rsidP="00343034">
      <w:pPr>
        <w:spacing w:after="0"/>
        <w:jc w:val="both"/>
        <w:rPr>
          <w:rFonts w:ascii="Times New Roman" w:hAnsi="Times New Roman"/>
          <w:iCs/>
          <w:sz w:val="24"/>
          <w:szCs w:val="24"/>
        </w:rPr>
      </w:pPr>
      <w:r w:rsidRPr="00EC2653">
        <w:rPr>
          <w:rFonts w:ascii="Times New Roman" w:hAnsi="Times New Roman"/>
          <w:iCs/>
          <w:sz w:val="24"/>
          <w:szCs w:val="24"/>
        </w:rPr>
        <w:t xml:space="preserve">This study analyzes the pattern of student dropout rates </w:t>
      </w:r>
      <w:r w:rsidR="006C2A78" w:rsidRPr="00EC2653">
        <w:rPr>
          <w:rFonts w:ascii="Times New Roman" w:hAnsi="Times New Roman"/>
          <w:iCs/>
          <w:sz w:val="24"/>
          <w:szCs w:val="24"/>
        </w:rPr>
        <w:t>of</w:t>
      </w:r>
      <w:r w:rsidRPr="00EC2653">
        <w:rPr>
          <w:rFonts w:ascii="Times New Roman" w:hAnsi="Times New Roman"/>
          <w:iCs/>
          <w:sz w:val="24"/>
          <w:szCs w:val="24"/>
        </w:rPr>
        <w:t xml:space="preserve"> Baneshwor Multiple Campus (BMC) over the years </w:t>
      </w:r>
      <w:r w:rsidR="00841C79" w:rsidRPr="00EC2653">
        <w:rPr>
          <w:rFonts w:ascii="Times New Roman" w:hAnsi="Times New Roman"/>
          <w:iCs/>
          <w:sz w:val="24"/>
          <w:szCs w:val="24"/>
        </w:rPr>
        <w:t>2020 to 2022</w:t>
      </w:r>
      <w:r w:rsidRPr="00EC2653">
        <w:rPr>
          <w:rFonts w:ascii="Times New Roman" w:hAnsi="Times New Roman"/>
          <w:iCs/>
          <w:sz w:val="24"/>
          <w:szCs w:val="24"/>
        </w:rPr>
        <w:t xml:space="preserve">. However, despite BMC’s extensive initiatives, some problems continue to prevail due to </w:t>
      </w:r>
      <w:r w:rsidR="006C2A78" w:rsidRPr="00EC2653">
        <w:rPr>
          <w:rFonts w:ascii="Times New Roman" w:hAnsi="Times New Roman"/>
          <w:iCs/>
          <w:sz w:val="24"/>
          <w:szCs w:val="24"/>
        </w:rPr>
        <w:t>social and</w:t>
      </w:r>
      <w:r w:rsidRPr="00EC2653">
        <w:rPr>
          <w:rFonts w:ascii="Times New Roman" w:hAnsi="Times New Roman"/>
          <w:iCs/>
          <w:sz w:val="24"/>
          <w:szCs w:val="24"/>
        </w:rPr>
        <w:t xml:space="preserve"> economic reasons. Dropout rate is influenced by foreign migration more prominently as an aspect of culture wherein people give priority to employment opp</w:t>
      </w:r>
      <w:r w:rsidR="006C2A78" w:rsidRPr="00EC2653">
        <w:rPr>
          <w:rFonts w:ascii="Times New Roman" w:hAnsi="Times New Roman"/>
          <w:iCs/>
          <w:sz w:val="24"/>
          <w:szCs w:val="24"/>
        </w:rPr>
        <w:t>ortunities abroad than study</w:t>
      </w:r>
      <w:r w:rsidRPr="00EC2653">
        <w:rPr>
          <w:rFonts w:ascii="Times New Roman" w:hAnsi="Times New Roman"/>
          <w:iCs/>
          <w:sz w:val="24"/>
          <w:szCs w:val="24"/>
        </w:rPr>
        <w:t>. The data used in this research are obtained from the Educational Management Information System (EMIS), while a scientific method is followed</w:t>
      </w:r>
      <w:r w:rsidR="00841C79" w:rsidRPr="00EC2653">
        <w:rPr>
          <w:rFonts w:ascii="Times New Roman" w:hAnsi="Times New Roman"/>
          <w:iCs/>
          <w:sz w:val="24"/>
          <w:szCs w:val="24"/>
        </w:rPr>
        <w:t xml:space="preserve"> throughout the analysis phase. </w:t>
      </w:r>
      <w:r w:rsidRPr="00EC2653">
        <w:rPr>
          <w:rFonts w:ascii="Times New Roman" w:hAnsi="Times New Roman"/>
          <w:iCs/>
          <w:sz w:val="24"/>
          <w:szCs w:val="24"/>
        </w:rPr>
        <w:t xml:space="preserve">It is found that different academic levels have dropout rates, which indicate the need for </w:t>
      </w:r>
      <w:r w:rsidR="00841C79" w:rsidRPr="00EC2653">
        <w:rPr>
          <w:rFonts w:ascii="Times New Roman" w:hAnsi="Times New Roman"/>
          <w:iCs/>
          <w:sz w:val="24"/>
          <w:szCs w:val="24"/>
        </w:rPr>
        <w:t xml:space="preserve">strong </w:t>
      </w:r>
      <w:r w:rsidRPr="00EC2653">
        <w:rPr>
          <w:rFonts w:ascii="Times New Roman" w:hAnsi="Times New Roman"/>
          <w:iCs/>
          <w:sz w:val="24"/>
          <w:szCs w:val="24"/>
        </w:rPr>
        <w:t xml:space="preserve">retention strategies. The topic discussed in the dialogue covers, among other aspects, the level of effectiveness of the strategy implemented by BMC to reduce </w:t>
      </w:r>
      <w:r w:rsidR="00841C79" w:rsidRPr="00EC2653">
        <w:rPr>
          <w:rFonts w:ascii="Times New Roman" w:hAnsi="Times New Roman"/>
          <w:iCs/>
          <w:sz w:val="24"/>
          <w:szCs w:val="24"/>
        </w:rPr>
        <w:t>college</w:t>
      </w:r>
      <w:r w:rsidRPr="00EC2653">
        <w:rPr>
          <w:rFonts w:ascii="Times New Roman" w:hAnsi="Times New Roman"/>
          <w:iCs/>
          <w:sz w:val="24"/>
          <w:szCs w:val="24"/>
        </w:rPr>
        <w:t xml:space="preserve"> dropouts, as well as external influences on students' lives and the nation's economy arising from student movement.</w:t>
      </w:r>
    </w:p>
    <w:p w:rsidR="00ED41A8" w:rsidRPr="00343034" w:rsidRDefault="00EC2653" w:rsidP="00343034">
      <w:pPr>
        <w:spacing w:after="0"/>
        <w:rPr>
          <w:rFonts w:ascii="Times New Roman" w:hAnsi="Times New Roman"/>
          <w:sz w:val="24"/>
          <w:szCs w:val="24"/>
        </w:rPr>
      </w:pPr>
      <w:r>
        <w:rPr>
          <w:rFonts w:ascii="Times New Roman" w:eastAsia="Times New Roman" w:hAnsi="Times New Roman"/>
          <w:b/>
          <w:sz w:val="24"/>
          <w:szCs w:val="24"/>
        </w:rPr>
        <w:t>Keywords</w:t>
      </w:r>
      <w:r w:rsidR="00ED41A8" w:rsidRPr="00343034">
        <w:rPr>
          <w:rFonts w:ascii="Times New Roman" w:eastAsia="Times New Roman" w:hAnsi="Times New Roman"/>
          <w:b/>
          <w:sz w:val="24"/>
          <w:szCs w:val="24"/>
        </w:rPr>
        <w:t>:</w:t>
      </w:r>
      <w:r w:rsidR="00ED41A8" w:rsidRPr="00343034">
        <w:rPr>
          <w:rFonts w:ascii="Times New Roman" w:hAnsi="Times New Roman"/>
          <w:sz w:val="24"/>
          <w:szCs w:val="24"/>
        </w:rPr>
        <w:t xml:space="preserve"> </w:t>
      </w:r>
      <w:r w:rsidR="006C2A78" w:rsidRPr="00EC2653">
        <w:rPr>
          <w:rFonts w:ascii="Times New Roman" w:eastAsia="Times New Roman" w:hAnsi="Times New Roman"/>
          <w:bCs/>
          <w:iCs/>
          <w:sz w:val="24"/>
          <w:szCs w:val="24"/>
        </w:rPr>
        <w:t>Dropout</w:t>
      </w:r>
      <w:r w:rsidR="00ED41A8" w:rsidRPr="00EC2653">
        <w:rPr>
          <w:rFonts w:ascii="Times New Roman" w:eastAsia="Times New Roman" w:hAnsi="Times New Roman"/>
          <w:bCs/>
          <w:iCs/>
          <w:sz w:val="24"/>
          <w:szCs w:val="24"/>
        </w:rPr>
        <w:t xml:space="preserve">, </w:t>
      </w:r>
      <w:r w:rsidR="006C2A78" w:rsidRPr="00EC2653">
        <w:rPr>
          <w:rFonts w:ascii="Times New Roman" w:eastAsia="Times New Roman" w:hAnsi="Times New Roman"/>
          <w:bCs/>
          <w:iCs/>
          <w:sz w:val="24"/>
          <w:szCs w:val="24"/>
        </w:rPr>
        <w:t xml:space="preserve">enrollment, </w:t>
      </w:r>
      <w:r w:rsidR="002C5D28" w:rsidRPr="00EC2653">
        <w:rPr>
          <w:rFonts w:ascii="Times New Roman" w:eastAsia="Times New Roman" w:hAnsi="Times New Roman"/>
          <w:bCs/>
          <w:iCs/>
          <w:sz w:val="24"/>
          <w:szCs w:val="24"/>
        </w:rPr>
        <w:t xml:space="preserve">exam appeared, </w:t>
      </w:r>
      <w:r w:rsidRPr="00EC2653">
        <w:rPr>
          <w:rFonts w:ascii="Times New Roman" w:eastAsia="Times New Roman" w:hAnsi="Times New Roman"/>
          <w:bCs/>
          <w:iCs/>
          <w:sz w:val="24"/>
          <w:szCs w:val="24"/>
        </w:rPr>
        <w:t xml:space="preserve">foreign migration, </w:t>
      </w:r>
      <w:r w:rsidR="00ED41A8" w:rsidRPr="00EC2653">
        <w:rPr>
          <w:rFonts w:ascii="Times New Roman" w:eastAsia="Times New Roman" w:hAnsi="Times New Roman"/>
          <w:bCs/>
          <w:iCs/>
          <w:sz w:val="24"/>
          <w:szCs w:val="24"/>
        </w:rPr>
        <w:t>p</w:t>
      </w:r>
      <w:r w:rsidR="006C2A78" w:rsidRPr="00EC2653">
        <w:rPr>
          <w:rFonts w:ascii="Times New Roman" w:eastAsia="Times New Roman" w:hAnsi="Times New Roman"/>
          <w:bCs/>
          <w:iCs/>
          <w:sz w:val="24"/>
          <w:szCs w:val="24"/>
        </w:rPr>
        <w:t>olicy, s</w:t>
      </w:r>
      <w:r w:rsidR="00ED41A8" w:rsidRPr="00EC2653">
        <w:rPr>
          <w:rFonts w:ascii="Times New Roman" w:eastAsia="Times New Roman" w:hAnsi="Times New Roman"/>
          <w:bCs/>
          <w:iCs/>
          <w:sz w:val="24"/>
          <w:szCs w:val="24"/>
        </w:rPr>
        <w:t>tudent retention</w:t>
      </w:r>
    </w:p>
    <w:p w:rsidR="00EC2653" w:rsidRDefault="00EC2653" w:rsidP="005A3356">
      <w:pPr>
        <w:pStyle w:val="NormalWeb"/>
        <w:spacing w:before="0" w:beforeAutospacing="0" w:after="0" w:afterAutospacing="0" w:line="276" w:lineRule="auto"/>
        <w:jc w:val="center"/>
        <w:rPr>
          <w:b/>
        </w:rPr>
      </w:pPr>
    </w:p>
    <w:p w:rsidR="00622D3D" w:rsidRPr="005A3356" w:rsidRDefault="00622D3D" w:rsidP="00343034">
      <w:pPr>
        <w:pStyle w:val="NormalWeb"/>
        <w:spacing w:before="0" w:beforeAutospacing="0" w:after="0" w:afterAutospacing="0" w:line="276" w:lineRule="auto"/>
        <w:jc w:val="both"/>
        <w:rPr>
          <w:b/>
          <w:sz w:val="28"/>
          <w:szCs w:val="28"/>
        </w:rPr>
      </w:pPr>
      <w:r w:rsidRPr="005A3356">
        <w:rPr>
          <w:b/>
          <w:sz w:val="28"/>
          <w:szCs w:val="28"/>
        </w:rPr>
        <w:t xml:space="preserve">Background </w:t>
      </w:r>
    </w:p>
    <w:p w:rsidR="00BF31E5" w:rsidRPr="00343034" w:rsidRDefault="00D253C8" w:rsidP="00343034">
      <w:pPr>
        <w:pStyle w:val="NormalWeb"/>
        <w:spacing w:before="0" w:beforeAutospacing="0" w:after="0" w:afterAutospacing="0" w:line="276" w:lineRule="auto"/>
        <w:jc w:val="both"/>
      </w:pPr>
      <w:r w:rsidRPr="00343034">
        <w:t xml:space="preserve">Dropout and graduation rates have long been seen as key indicators of social and economic well-being as well as the productivity and efficacy of the educational system. The current state of affairs is marked by a number of factors that have increased interest in the reliability and applicability of these statistics, including shifting demographics, new legal requirements, and </w:t>
      </w:r>
      <w:r w:rsidRPr="00343034">
        <w:lastRenderedPageBreak/>
        <w:t>increased political pressure to lower the dropout rate (NA</w:t>
      </w:r>
      <w:r w:rsidR="00BE3491" w:rsidRPr="00343034">
        <w:t>SE</w:t>
      </w:r>
      <w:r w:rsidR="00841C79" w:rsidRPr="00343034">
        <w:t>M</w:t>
      </w:r>
      <w:r w:rsidRPr="00343034">
        <w:t xml:space="preserve">; 2011). </w:t>
      </w:r>
      <w:r w:rsidR="00AE3C24" w:rsidRPr="00343034">
        <w:t>The cause of a student dropping out is often termed as the antecedent of dropout because it refers to the pivotal event which leads to dropout (</w:t>
      </w:r>
      <w:hyperlink r:id="rId13" w:anchor="bibr17-2158244013503834" w:history="1">
        <w:r w:rsidR="00ED41A8" w:rsidRPr="00343034">
          <w:t>Fuller, R.</w:t>
        </w:r>
        <w:r w:rsidR="00AE3C24" w:rsidRPr="00343034">
          <w:t>1927</w:t>
        </w:r>
      </w:hyperlink>
      <w:r w:rsidR="00AE3C24" w:rsidRPr="00343034">
        <w:t xml:space="preserve">). </w:t>
      </w:r>
      <w:r w:rsidR="001E648F" w:rsidRPr="00343034">
        <w:t>The reasons for school dropout</w:t>
      </w:r>
      <w:r w:rsidR="00EB31E4">
        <w:t xml:space="preserve"> vary. Some drop out</w:t>
      </w:r>
      <w:r w:rsidR="001E648F" w:rsidRPr="00343034">
        <w:t xml:space="preserve"> of </w:t>
      </w:r>
      <w:r w:rsidR="00EB31E4">
        <w:t>school</w:t>
      </w:r>
      <w:r w:rsidR="001E648F" w:rsidRPr="00343034">
        <w:t xml:space="preserve"> voluntarily while others are forced to do so under terrible circumstances. School dropout is a universal fact (</w:t>
      </w:r>
      <w:r w:rsidR="00824A4E" w:rsidRPr="00343034">
        <w:t>Mathew</w:t>
      </w:r>
      <w:r w:rsidR="00ED41A8" w:rsidRPr="00343034">
        <w:t>, J.</w:t>
      </w:r>
      <w:r w:rsidR="00824A4E" w:rsidRPr="00343034">
        <w:t xml:space="preserve"> </w:t>
      </w:r>
      <w:r w:rsidR="001E648F" w:rsidRPr="00343034">
        <w:t xml:space="preserve">2017). </w:t>
      </w:r>
      <w:r w:rsidR="00BF31E5" w:rsidRPr="00343034">
        <w:t>From the early 20th century pioneers to the present, research on school dropout has marked tendencies in causes and prevention. A paradigm for comprehending dropouts is provided by push, pull, and falling out variables. Push influences include disciplinary or attendance consequences from the school. Out-of-school lures like work and family are pull factors (</w:t>
      </w:r>
      <w:r w:rsidR="00ED41A8" w:rsidRPr="00343034">
        <w:t>Jacob Doll, J., Eslami, Z., &amp; Walters, L. 2013</w:t>
      </w:r>
      <w:r w:rsidR="00BF31E5" w:rsidRPr="00343034">
        <w:t>).</w:t>
      </w:r>
    </w:p>
    <w:p w:rsidR="001C46EA" w:rsidRPr="00343034" w:rsidRDefault="00496585" w:rsidP="00343034">
      <w:pPr>
        <w:pStyle w:val="NormalWeb"/>
        <w:spacing w:before="0" w:beforeAutospacing="0" w:after="0" w:afterAutospacing="0" w:line="276" w:lineRule="auto"/>
        <w:jc w:val="both"/>
      </w:pPr>
      <w:r w:rsidRPr="00343034">
        <w:t xml:space="preserve">In order to reduce the rate of student dropout, Baneshwor </w:t>
      </w:r>
      <w:r w:rsidR="00841C79" w:rsidRPr="00343034">
        <w:t xml:space="preserve">Multiple Campus designed a </w:t>
      </w:r>
      <w:r w:rsidR="002C5D28" w:rsidRPr="00343034">
        <w:t>well-integrated</w:t>
      </w:r>
      <w:r w:rsidRPr="00343034">
        <w:t xml:space="preserve"> policy in 2073, and it is still running (BMC; 2023). Being the main institution in the country, it has faced a range of challenges that are predominantly rooted in its economic and social context. Though measures have been taken to address the dropout problem, some external factors like macro-economic conditions as well as societal factors continue to be critical impediments. A considerable aspect responsib</w:t>
      </w:r>
      <w:r w:rsidR="00841C79" w:rsidRPr="00343034">
        <w:t>le for the problem of dropout</w:t>
      </w:r>
      <w:r w:rsidRPr="00343034">
        <w:t xml:space="preserve"> is a marked preference among the younger population of the country to go abroad. This generally results in greater chances of students quitting their studies due to highly attractive economic prospects in foreign lands; this, in turn, increases the rate of dropouts within the system. The same tendency can be seen as a part of social life when foreign countries create such power that it becomes stronger than one’s educational or professional ambitions.</w:t>
      </w:r>
    </w:p>
    <w:p w:rsidR="008E4D87" w:rsidRPr="00343034" w:rsidRDefault="008E4D87" w:rsidP="00343034">
      <w:pPr>
        <w:pStyle w:val="NormalWeb"/>
        <w:spacing w:before="0" w:beforeAutospacing="0" w:after="0" w:afterAutospacing="0" w:line="276" w:lineRule="auto"/>
        <w:jc w:val="both"/>
      </w:pPr>
      <w:r w:rsidRPr="00343034">
        <w:t>Baneshwor Multiple Campus has been able to significantly reduce the drop-out rate, which is a notable achievement. The institution’s relentless endeavor</w:t>
      </w:r>
      <w:r w:rsidR="005E6B59" w:rsidRPr="00343034">
        <w:t xml:space="preserve"> has been recognized in the 2022</w:t>
      </w:r>
      <w:r w:rsidRPr="00343034">
        <w:t xml:space="preserve"> academic year, which experienced a substantial decline in the drop-out ratio, indicating that they are making headway in their struggle to fight this problem. Nevertheless, there is an admission that the current situation cannot be said to be completely acceptable.</w:t>
      </w:r>
    </w:p>
    <w:p w:rsidR="00FD25E0" w:rsidRPr="00343034" w:rsidRDefault="00FD25E0" w:rsidP="00343034">
      <w:pPr>
        <w:pStyle w:val="NormalWeb"/>
        <w:spacing w:before="0" w:beforeAutospacing="0" w:after="0" w:afterAutospacing="0" w:line="276" w:lineRule="auto"/>
        <w:jc w:val="both"/>
      </w:pPr>
      <w:r w:rsidRPr="00343034">
        <w:t>Dropping out in this context is referred to as students who fail to complete their studies at Baneshwor Multiple Campus. Dropout rates therefore reflect the portion of learners who leave school before finishing their respective courses. These rates show the difficulties that the campus encounters in retaining its enrolment and ensuring completion of academic programs successfully.</w:t>
      </w:r>
    </w:p>
    <w:p w:rsidR="001C46EA" w:rsidRDefault="001C46EA" w:rsidP="00343034">
      <w:pPr>
        <w:pStyle w:val="NormalWeb"/>
        <w:spacing w:before="0" w:beforeAutospacing="0" w:after="0" w:afterAutospacing="0" w:line="276" w:lineRule="auto"/>
        <w:jc w:val="both"/>
      </w:pPr>
      <w:r w:rsidRPr="00343034">
        <w:t xml:space="preserve">Baneshwor Multiple Campus's </w:t>
      </w:r>
      <w:r w:rsidR="00031FE8" w:rsidRPr="00343034">
        <w:t xml:space="preserve">has </w:t>
      </w:r>
      <w:r w:rsidRPr="00343034">
        <w:t xml:space="preserve">commitment to addressing these challenges is </w:t>
      </w:r>
      <w:r w:rsidR="00031FE8" w:rsidRPr="00343034">
        <w:t>clear</w:t>
      </w:r>
      <w:r w:rsidRPr="00343034">
        <w:t xml:space="preserve"> through the co</w:t>
      </w:r>
      <w:r w:rsidR="00031FE8" w:rsidRPr="00343034">
        <w:t>ntinuous implementation of its</w:t>
      </w:r>
      <w:r w:rsidRPr="00343034">
        <w:t xml:space="preserve"> dropout reduction policy. </w:t>
      </w:r>
      <w:r w:rsidR="00031FE8" w:rsidRPr="00343034">
        <w:t>T</w:t>
      </w:r>
      <w:r w:rsidRPr="00343034">
        <w:t xml:space="preserve">he </w:t>
      </w:r>
      <w:r w:rsidR="00031FE8" w:rsidRPr="00343034">
        <w:t>campus</w:t>
      </w:r>
      <w:r w:rsidRPr="00343034">
        <w:t xml:space="preserve"> has made significant </w:t>
      </w:r>
      <w:r w:rsidR="00031FE8" w:rsidRPr="00343034">
        <w:t>steps</w:t>
      </w:r>
      <w:r w:rsidRPr="00343034">
        <w:t xml:space="preserve"> in controlling the upward trajectory of dropout rates, the </w:t>
      </w:r>
      <w:r w:rsidR="00031FE8" w:rsidRPr="00343034">
        <w:t>multifaceted</w:t>
      </w:r>
      <w:r w:rsidRPr="00343034">
        <w:t xml:space="preserve"> </w:t>
      </w:r>
      <w:r w:rsidR="00031FE8" w:rsidRPr="00343034">
        <w:t>relationship</w:t>
      </w:r>
      <w:r w:rsidRPr="00343034">
        <w:t xml:space="preserve"> of economic, social, and migration factors </w:t>
      </w:r>
      <w:r w:rsidR="00031FE8" w:rsidRPr="00343034">
        <w:t>requires</w:t>
      </w:r>
      <w:r w:rsidRPr="00343034">
        <w:t xml:space="preserve"> ongoing efforts to achieve a more satisfactory outcome in the </w:t>
      </w:r>
      <w:r w:rsidR="00031FE8" w:rsidRPr="00343034">
        <w:t xml:space="preserve">coming </w:t>
      </w:r>
      <w:r w:rsidRPr="00343034">
        <w:t>future.</w:t>
      </w:r>
    </w:p>
    <w:p w:rsidR="004F01B1" w:rsidRPr="00343034" w:rsidRDefault="004F01B1" w:rsidP="00343034">
      <w:pPr>
        <w:pStyle w:val="NormalWeb"/>
        <w:spacing w:before="0" w:beforeAutospacing="0" w:after="0" w:afterAutospacing="0" w:line="276" w:lineRule="auto"/>
        <w:jc w:val="both"/>
      </w:pPr>
    </w:p>
    <w:p w:rsidR="00622D3D" w:rsidRPr="004F01B1" w:rsidRDefault="00622D3D" w:rsidP="00343034">
      <w:pPr>
        <w:pStyle w:val="NormalWeb"/>
        <w:spacing w:before="0" w:beforeAutospacing="0" w:after="0" w:afterAutospacing="0" w:line="276" w:lineRule="auto"/>
        <w:jc w:val="both"/>
        <w:rPr>
          <w:b/>
          <w:sz w:val="28"/>
          <w:szCs w:val="28"/>
        </w:rPr>
      </w:pPr>
      <w:r w:rsidRPr="004F01B1">
        <w:rPr>
          <w:b/>
          <w:sz w:val="28"/>
          <w:szCs w:val="28"/>
        </w:rPr>
        <w:t>Objectives</w:t>
      </w:r>
    </w:p>
    <w:p w:rsidR="00622D3D" w:rsidRPr="00343034" w:rsidRDefault="00622D3D" w:rsidP="00343034">
      <w:pPr>
        <w:pStyle w:val="NormalWeb"/>
        <w:numPr>
          <w:ilvl w:val="0"/>
          <w:numId w:val="1"/>
        </w:numPr>
        <w:spacing w:before="0" w:beforeAutospacing="0" w:after="0" w:afterAutospacing="0" w:line="276" w:lineRule="auto"/>
        <w:jc w:val="both"/>
      </w:pPr>
      <w:r w:rsidRPr="00343034">
        <w:t xml:space="preserve">To find out the </w:t>
      </w:r>
      <w:r w:rsidR="004F01B1">
        <w:t>students'</w:t>
      </w:r>
      <w:r w:rsidRPr="00343034">
        <w:t xml:space="preserve"> exam </w:t>
      </w:r>
      <w:r w:rsidR="004F01B1">
        <w:t>appearance</w:t>
      </w:r>
      <w:r w:rsidRPr="00343034">
        <w:t xml:space="preserve"> rate</w:t>
      </w:r>
      <w:r w:rsidR="005C0E40" w:rsidRPr="00343034">
        <w:t xml:space="preserve"> of BMC</w:t>
      </w:r>
      <w:r w:rsidRPr="00343034">
        <w:t xml:space="preserve"> </w:t>
      </w:r>
    </w:p>
    <w:p w:rsidR="00622D3D" w:rsidRDefault="00622D3D" w:rsidP="00343034">
      <w:pPr>
        <w:pStyle w:val="NormalWeb"/>
        <w:numPr>
          <w:ilvl w:val="0"/>
          <w:numId w:val="1"/>
        </w:numPr>
        <w:spacing w:before="0" w:beforeAutospacing="0" w:after="0" w:afterAutospacing="0" w:line="276" w:lineRule="auto"/>
        <w:jc w:val="both"/>
      </w:pPr>
      <w:r w:rsidRPr="00343034">
        <w:t xml:space="preserve">To analyze the </w:t>
      </w:r>
      <w:r w:rsidR="004F01B1">
        <w:t>students'</w:t>
      </w:r>
      <w:r w:rsidRPr="00343034">
        <w:t xml:space="preserve"> dropout rate</w:t>
      </w:r>
      <w:r w:rsidR="005C0E40" w:rsidRPr="00343034">
        <w:t xml:space="preserve"> </w:t>
      </w:r>
      <w:r w:rsidR="004F01B1">
        <w:t>at</w:t>
      </w:r>
      <w:r w:rsidR="005C0E40" w:rsidRPr="00343034">
        <w:t xml:space="preserve"> BMC</w:t>
      </w:r>
      <w:r w:rsidRPr="00343034">
        <w:t xml:space="preserve"> </w:t>
      </w:r>
    </w:p>
    <w:p w:rsidR="004F01B1" w:rsidRDefault="004F01B1" w:rsidP="004F01B1">
      <w:pPr>
        <w:pStyle w:val="NormalWeb"/>
        <w:spacing w:before="0" w:beforeAutospacing="0" w:after="0" w:afterAutospacing="0" w:line="276" w:lineRule="auto"/>
        <w:ind w:left="720"/>
        <w:jc w:val="both"/>
      </w:pPr>
    </w:p>
    <w:p w:rsidR="00B5172F" w:rsidRPr="00343034" w:rsidRDefault="00B5172F" w:rsidP="004F01B1">
      <w:pPr>
        <w:pStyle w:val="NormalWeb"/>
        <w:spacing w:before="0" w:beforeAutospacing="0" w:after="0" w:afterAutospacing="0" w:line="276" w:lineRule="auto"/>
        <w:ind w:left="720"/>
        <w:jc w:val="both"/>
      </w:pPr>
    </w:p>
    <w:p w:rsidR="00C73F68" w:rsidRPr="004F01B1" w:rsidRDefault="00C73F68" w:rsidP="00343034">
      <w:pPr>
        <w:pStyle w:val="NormalWeb"/>
        <w:spacing w:before="0" w:beforeAutospacing="0" w:after="0" w:afterAutospacing="0" w:line="276" w:lineRule="auto"/>
        <w:jc w:val="both"/>
        <w:rPr>
          <w:b/>
          <w:sz w:val="28"/>
          <w:szCs w:val="28"/>
        </w:rPr>
      </w:pPr>
      <w:r w:rsidRPr="004F01B1">
        <w:rPr>
          <w:b/>
          <w:sz w:val="28"/>
          <w:szCs w:val="28"/>
        </w:rPr>
        <w:t>Research Questions</w:t>
      </w:r>
    </w:p>
    <w:p w:rsidR="00C73F68" w:rsidRPr="00343034" w:rsidRDefault="00C73F68" w:rsidP="00343034">
      <w:pPr>
        <w:pStyle w:val="NormalWeb"/>
        <w:spacing w:before="0" w:beforeAutospacing="0" w:after="0" w:afterAutospacing="0" w:line="276" w:lineRule="auto"/>
        <w:jc w:val="both"/>
      </w:pPr>
      <w:r w:rsidRPr="00343034">
        <w:t>The objectives outlined in the context of Baneshwor Multiple Campus point to a need to comprehend retention and engagement patterns among students. In keeping with these objectives, the following research questions might be taken into consideration:</w:t>
      </w:r>
    </w:p>
    <w:p w:rsidR="00C73F68" w:rsidRPr="00343034" w:rsidRDefault="00C73F68" w:rsidP="00343034">
      <w:pPr>
        <w:pStyle w:val="NormalWeb"/>
        <w:numPr>
          <w:ilvl w:val="0"/>
          <w:numId w:val="8"/>
        </w:numPr>
        <w:spacing w:before="0" w:beforeAutospacing="0" w:after="0" w:afterAutospacing="0" w:line="276" w:lineRule="auto"/>
        <w:jc w:val="both"/>
      </w:pPr>
      <w:r w:rsidRPr="00343034">
        <w:t xml:space="preserve">What is the participation rate of students in examinations at Baneshwor Multiple Campus, and how has this percentage changed over the specified time period (e.g., from academic years </w:t>
      </w:r>
      <w:r w:rsidR="00841C79" w:rsidRPr="00343034">
        <w:t>2020 to 2022</w:t>
      </w:r>
      <w:r w:rsidRPr="00343034">
        <w:t>)?</w:t>
      </w:r>
    </w:p>
    <w:p w:rsidR="00C73F68" w:rsidRPr="00343034" w:rsidRDefault="00C73F68" w:rsidP="00343034">
      <w:pPr>
        <w:pStyle w:val="NormalWeb"/>
        <w:numPr>
          <w:ilvl w:val="0"/>
          <w:numId w:val="8"/>
        </w:numPr>
        <w:spacing w:before="0" w:beforeAutospacing="0" w:after="0" w:afterAutospacing="0" w:line="276" w:lineRule="auto"/>
        <w:jc w:val="both"/>
      </w:pPr>
      <w:r w:rsidRPr="00343034">
        <w:t xml:space="preserve">How many students have discontinued their education, i.e., dropped out, at Baneshwor Multiple Campus over the designated period (e.g., academic years </w:t>
      </w:r>
      <w:r w:rsidR="00841C79" w:rsidRPr="00343034">
        <w:t>2020 to 2022</w:t>
      </w:r>
      <w:r w:rsidRPr="00343034">
        <w:t>)?</w:t>
      </w:r>
    </w:p>
    <w:p w:rsidR="00C73F68" w:rsidRDefault="00C73F68" w:rsidP="00343034">
      <w:pPr>
        <w:pStyle w:val="NormalWeb"/>
        <w:numPr>
          <w:ilvl w:val="0"/>
          <w:numId w:val="8"/>
        </w:numPr>
        <w:spacing w:before="0" w:beforeAutospacing="0" w:after="0" w:afterAutospacing="0" w:line="276" w:lineRule="auto"/>
        <w:jc w:val="both"/>
      </w:pPr>
      <w:r w:rsidRPr="00343034">
        <w:t>To what degree has the dropout reduction policy implemented by Baneshwor Multiple Campus proven effective in decreasing the dropout rate? Are there specific policy measures that have shown particular success in achieving this reduction?</w:t>
      </w:r>
    </w:p>
    <w:p w:rsidR="00B5172F" w:rsidRPr="00343034" w:rsidRDefault="00B5172F" w:rsidP="00B5172F">
      <w:pPr>
        <w:pStyle w:val="NormalWeb"/>
        <w:spacing w:before="0" w:beforeAutospacing="0" w:after="0" w:afterAutospacing="0" w:line="276" w:lineRule="auto"/>
        <w:ind w:left="720"/>
        <w:jc w:val="both"/>
      </w:pPr>
    </w:p>
    <w:p w:rsidR="00622D3D" w:rsidRPr="00B5172F" w:rsidRDefault="00622D3D" w:rsidP="00343034">
      <w:pPr>
        <w:pStyle w:val="NormalWeb"/>
        <w:spacing w:before="0" w:beforeAutospacing="0" w:after="0" w:afterAutospacing="0" w:line="276" w:lineRule="auto"/>
        <w:jc w:val="both"/>
        <w:rPr>
          <w:b/>
          <w:sz w:val="28"/>
          <w:szCs w:val="28"/>
        </w:rPr>
      </w:pPr>
      <w:r w:rsidRPr="00B5172F">
        <w:rPr>
          <w:b/>
          <w:sz w:val="28"/>
          <w:szCs w:val="28"/>
        </w:rPr>
        <w:t xml:space="preserve">Methodology </w:t>
      </w:r>
    </w:p>
    <w:p w:rsidR="00F63B85" w:rsidRDefault="007D5E80" w:rsidP="00343034">
      <w:pPr>
        <w:pStyle w:val="NormalWeb"/>
        <w:spacing w:before="0" w:beforeAutospacing="0" w:after="0" w:afterAutospacing="0" w:line="276" w:lineRule="auto"/>
        <w:jc w:val="both"/>
      </w:pPr>
      <w:r w:rsidRPr="00343034">
        <w:t xml:space="preserve">Study </w:t>
      </w:r>
      <w:r w:rsidR="00111F2C" w:rsidRPr="00343034">
        <w:t xml:space="preserve">is focused to find out the </w:t>
      </w:r>
      <w:r w:rsidRPr="00343034">
        <w:t xml:space="preserve">students </w:t>
      </w:r>
      <w:r w:rsidR="00111F2C" w:rsidRPr="00343034">
        <w:t>dropout</w:t>
      </w:r>
      <w:r w:rsidRPr="00343034">
        <w:t xml:space="preserve"> </w:t>
      </w:r>
      <w:r w:rsidR="00111F2C" w:rsidRPr="00343034">
        <w:t>rate of Baneshwor Multiple C</w:t>
      </w:r>
      <w:r w:rsidR="00602DEB" w:rsidRPr="00343034">
        <w:t>ampus</w:t>
      </w:r>
      <w:r w:rsidRPr="00343034">
        <w:t xml:space="preserve"> from 2020 to 2022. </w:t>
      </w:r>
      <w:r w:rsidR="00111F2C" w:rsidRPr="00343034">
        <w:t>For that purpose t</w:t>
      </w:r>
      <w:r w:rsidRPr="00343034">
        <w:t>he goal is to use appropriate methods to</w:t>
      </w:r>
      <w:r w:rsidR="00111F2C" w:rsidRPr="00343034">
        <w:t xml:space="preserve"> get accurate results. The methodology</w:t>
      </w:r>
      <w:r w:rsidRPr="00343034">
        <w:t xml:space="preserve"> covers many things like who are the study population</w:t>
      </w:r>
      <w:r w:rsidR="00ED563F" w:rsidRPr="00343034">
        <w:t>s</w:t>
      </w:r>
      <w:r w:rsidRPr="00343034">
        <w:t xml:space="preserve">, </w:t>
      </w:r>
      <w:r w:rsidR="00602DEB" w:rsidRPr="00343034">
        <w:t>how data are</w:t>
      </w:r>
      <w:r w:rsidR="00111F2C" w:rsidRPr="00343034">
        <w:t xml:space="preserve"> collect</w:t>
      </w:r>
      <w:r w:rsidR="00602DEB" w:rsidRPr="00343034">
        <w:t>ed</w:t>
      </w:r>
      <w:r w:rsidRPr="00343034">
        <w:t xml:space="preserve">, and how it </w:t>
      </w:r>
      <w:r w:rsidR="00111F2C" w:rsidRPr="00343034">
        <w:t>is analyzed</w:t>
      </w:r>
      <w:r w:rsidR="00ED563F" w:rsidRPr="00343034">
        <w:t xml:space="preserve"> and interpreted</w:t>
      </w:r>
      <w:r w:rsidRPr="00343034">
        <w:t>.</w:t>
      </w:r>
    </w:p>
    <w:p w:rsidR="00B5172F" w:rsidRPr="00343034" w:rsidRDefault="00B5172F" w:rsidP="00343034">
      <w:pPr>
        <w:pStyle w:val="NormalWeb"/>
        <w:spacing w:before="0" w:beforeAutospacing="0" w:after="0" w:afterAutospacing="0" w:line="276" w:lineRule="auto"/>
        <w:jc w:val="both"/>
      </w:pPr>
    </w:p>
    <w:p w:rsidR="00870D7A" w:rsidRPr="00343034" w:rsidRDefault="00F63B85" w:rsidP="00343034">
      <w:pPr>
        <w:pStyle w:val="NormalWeb"/>
        <w:spacing w:before="0" w:beforeAutospacing="0" w:after="0" w:afterAutospacing="0" w:line="276" w:lineRule="auto"/>
        <w:jc w:val="both"/>
      </w:pPr>
      <w:r w:rsidRPr="00343034">
        <w:rPr>
          <w:b/>
          <w:bCs/>
        </w:rPr>
        <w:t>Study Population and Study Area:</w:t>
      </w:r>
      <w:r w:rsidRPr="00343034">
        <w:t xml:space="preserve"> The students enrolled at Baneshwor Multiple Campus be</w:t>
      </w:r>
      <w:r w:rsidR="00841C79" w:rsidRPr="00343034">
        <w:t>tween the academic years of 2020 and 2022</w:t>
      </w:r>
      <w:r w:rsidRPr="00343034">
        <w:t xml:space="preserve"> make up the study population for this research. The study area </w:t>
      </w:r>
      <w:r w:rsidR="00111F2C" w:rsidRPr="00343034">
        <w:t>fixed on Baneshwor Multiple Campus</w:t>
      </w:r>
      <w:r w:rsidRPr="00343034">
        <w:t xml:space="preserve">, which is located in </w:t>
      </w:r>
      <w:r w:rsidR="00E147F8" w:rsidRPr="00343034">
        <w:t>S</w:t>
      </w:r>
      <w:r w:rsidR="00111F2C" w:rsidRPr="00343034">
        <w:t xml:space="preserve">antinagar area of </w:t>
      </w:r>
      <w:r w:rsidRPr="00343034">
        <w:t xml:space="preserve">New Baneshwor, Kathmandu, Nepal. </w:t>
      </w:r>
      <w:r w:rsidR="00870D7A" w:rsidRPr="00343034">
        <w:t>The Baneshwor Multiple Campus is selected for this study purpose because this campus is a renowned community campus of the country. This Campus has different common academic programs in which students from most of the parts of country are enrolled. So, it can provide the clear picture of student dropout scenario of the higher educational institution of Nepal.</w:t>
      </w:r>
    </w:p>
    <w:p w:rsidR="00870D7A" w:rsidRPr="00343034" w:rsidRDefault="00870D7A" w:rsidP="00343034">
      <w:pPr>
        <w:pStyle w:val="NormalWeb"/>
        <w:spacing w:before="0" w:beforeAutospacing="0" w:after="0" w:afterAutospacing="0" w:line="276" w:lineRule="auto"/>
        <w:jc w:val="both"/>
        <w:rPr>
          <w:b/>
          <w:bCs/>
        </w:rPr>
      </w:pPr>
    </w:p>
    <w:p w:rsidR="00F63B85" w:rsidRDefault="00F63B85" w:rsidP="00343034">
      <w:pPr>
        <w:pStyle w:val="NormalWeb"/>
        <w:spacing w:before="0" w:beforeAutospacing="0" w:after="0" w:afterAutospacing="0" w:line="276" w:lineRule="auto"/>
        <w:jc w:val="both"/>
      </w:pPr>
      <w:r w:rsidRPr="00343034">
        <w:rPr>
          <w:b/>
          <w:bCs/>
        </w:rPr>
        <w:t>Data Collection:</w:t>
      </w:r>
      <w:r w:rsidR="009A6A00" w:rsidRPr="00343034">
        <w:t xml:space="preserve"> This study is primarily </w:t>
      </w:r>
      <w:r w:rsidR="0077730A" w:rsidRPr="00343034">
        <w:t xml:space="preserve">based on the data </w:t>
      </w:r>
      <w:r w:rsidR="00B718B1" w:rsidRPr="00343034">
        <w:t xml:space="preserve">which are </w:t>
      </w:r>
      <w:r w:rsidR="0077730A" w:rsidRPr="00343034">
        <w:t>provided by</w:t>
      </w:r>
      <w:r w:rsidR="009A6A00" w:rsidRPr="00343034">
        <w:t xml:space="preserve"> </w:t>
      </w:r>
      <w:r w:rsidRPr="00343034">
        <w:t>Educational Managem</w:t>
      </w:r>
      <w:r w:rsidR="009A6A00" w:rsidRPr="00343034">
        <w:t>ent Information System (EMIS) of</w:t>
      </w:r>
      <w:r w:rsidRPr="00343034">
        <w:t xml:space="preserve"> Baneshwor Multiple Campus</w:t>
      </w:r>
      <w:r w:rsidR="0077730A" w:rsidRPr="00343034">
        <w:t>. Similarly,</w:t>
      </w:r>
      <w:r w:rsidRPr="00343034">
        <w:t xml:space="preserve"> </w:t>
      </w:r>
      <w:r w:rsidR="0077730A" w:rsidRPr="00343034">
        <w:t xml:space="preserve">student enrollment related </w:t>
      </w:r>
      <w:r w:rsidR="006E550B" w:rsidRPr="00343034">
        <w:t>information’s</w:t>
      </w:r>
      <w:r w:rsidR="0077730A" w:rsidRPr="00343034">
        <w:t xml:space="preserve"> are collected from the admission section of campus and other exam related </w:t>
      </w:r>
      <w:r w:rsidR="00BC5849" w:rsidRPr="00343034">
        <w:t>information’s</w:t>
      </w:r>
      <w:r w:rsidR="0077730A" w:rsidRPr="00343034">
        <w:t xml:space="preserve"> are collected from the exam section records.</w:t>
      </w:r>
      <w:r w:rsidRPr="00343034">
        <w:t xml:space="preserve"> A comprehensive cross-referencing procedure is used to guarantee data accuracy. It involves comparing the Admission Section, the EMIS system, and the TU Examination Board's triplicate documents. Furthermore, each student's mark sheet is carefully reviewed for verification.</w:t>
      </w:r>
    </w:p>
    <w:p w:rsidR="00B5172F" w:rsidRPr="00343034" w:rsidRDefault="00B5172F" w:rsidP="00343034">
      <w:pPr>
        <w:pStyle w:val="NormalWeb"/>
        <w:spacing w:before="0" w:beforeAutospacing="0" w:after="0" w:afterAutospacing="0" w:line="276" w:lineRule="auto"/>
        <w:jc w:val="both"/>
      </w:pPr>
    </w:p>
    <w:p w:rsidR="00F63B85" w:rsidRDefault="00F63B85" w:rsidP="00343034">
      <w:pPr>
        <w:pStyle w:val="NormalWeb"/>
        <w:spacing w:before="0" w:beforeAutospacing="0" w:after="0" w:afterAutospacing="0" w:line="276" w:lineRule="auto"/>
        <w:jc w:val="both"/>
      </w:pPr>
      <w:r w:rsidRPr="00343034">
        <w:rPr>
          <w:b/>
          <w:bCs/>
        </w:rPr>
        <w:t>Data Analysis:</w:t>
      </w:r>
      <w:r w:rsidRPr="00343034">
        <w:t xml:space="preserve"> A systematic data analysis approach is employed to derive meaningful insights from the collected data. Tabulation is used to organize and present the data in a structured manner, facilitating a clear understanding of patterns and trends. The quantification and categorization of students appearing for exams and those experiencing dropout instances are integral components of the analytical process. Percentage calculations are utilized to express the dropout rate relative to both the total student population and those participating in examinations. The analysis differentiates be</w:t>
      </w:r>
      <w:r w:rsidR="00841C79" w:rsidRPr="00343034">
        <w:t>tween three academic years (2020 to 2022</w:t>
      </w:r>
      <w:r w:rsidRPr="00343034">
        <w:t>) to discern evolving trends. Anomalies, such as negative dropout rates, are identified and addressed during the analysis phase.</w:t>
      </w:r>
    </w:p>
    <w:p w:rsidR="00B5172F" w:rsidRPr="00343034" w:rsidRDefault="00B5172F" w:rsidP="00343034">
      <w:pPr>
        <w:pStyle w:val="NormalWeb"/>
        <w:spacing w:before="0" w:beforeAutospacing="0" w:after="0" w:afterAutospacing="0" w:line="276" w:lineRule="auto"/>
        <w:jc w:val="both"/>
      </w:pPr>
    </w:p>
    <w:p w:rsidR="00AF52FC" w:rsidRPr="00343034" w:rsidRDefault="00F63B85" w:rsidP="00343034">
      <w:pPr>
        <w:pStyle w:val="NormalWeb"/>
        <w:spacing w:before="0" w:beforeAutospacing="0" w:after="0" w:afterAutospacing="0" w:line="276" w:lineRule="auto"/>
        <w:jc w:val="both"/>
      </w:pPr>
      <w:r w:rsidRPr="00343034">
        <w:rPr>
          <w:b/>
          <w:bCs/>
        </w:rPr>
        <w:t>Data Interpretation:</w:t>
      </w:r>
      <w:r w:rsidRPr="00343034">
        <w:t xml:space="preserve"> </w:t>
      </w:r>
      <w:r w:rsidR="003F24B1" w:rsidRPr="00343034">
        <w:t xml:space="preserve">In this process of research, an attempt has been made to systematically interpret the available statistical information of dropouts based on the objectives of the research. Furthermore, this phase provides key principles for increasing student enrollment and solving or reducing dropout problems. </w:t>
      </w:r>
      <w:r w:rsidR="00AF52FC" w:rsidRPr="00343034">
        <w:t>The emphasis in interpretation is on ethics considering the importance of protecting the privacy and confidentiality of data obtained.</w:t>
      </w:r>
    </w:p>
    <w:p w:rsidR="00AF52FC" w:rsidRPr="00343034" w:rsidRDefault="00AF52FC" w:rsidP="00343034">
      <w:pPr>
        <w:pStyle w:val="NormalWeb"/>
        <w:spacing w:before="0" w:beforeAutospacing="0" w:after="0" w:afterAutospacing="0" w:line="276" w:lineRule="auto"/>
        <w:jc w:val="both"/>
      </w:pPr>
    </w:p>
    <w:p w:rsidR="00241448" w:rsidRPr="00B5172F" w:rsidRDefault="00F63B85" w:rsidP="00343034">
      <w:pPr>
        <w:spacing w:after="0"/>
        <w:rPr>
          <w:rFonts w:ascii="Times New Roman" w:hAnsi="Times New Roman"/>
          <w:b/>
          <w:sz w:val="28"/>
          <w:szCs w:val="28"/>
        </w:rPr>
      </w:pPr>
      <w:r w:rsidRPr="00B5172F">
        <w:rPr>
          <w:rFonts w:ascii="Times New Roman" w:hAnsi="Times New Roman"/>
          <w:b/>
          <w:sz w:val="28"/>
          <w:szCs w:val="28"/>
        </w:rPr>
        <w:t>Findings</w:t>
      </w:r>
    </w:p>
    <w:p w:rsidR="00622D3D" w:rsidRPr="00343034" w:rsidRDefault="00FB468F" w:rsidP="00343034">
      <w:pPr>
        <w:spacing w:after="0"/>
        <w:jc w:val="both"/>
        <w:rPr>
          <w:rFonts w:ascii="Times New Roman" w:hAnsi="Times New Roman"/>
          <w:b/>
          <w:sz w:val="24"/>
          <w:szCs w:val="24"/>
        </w:rPr>
      </w:pPr>
      <w:r w:rsidRPr="00343034">
        <w:rPr>
          <w:rFonts w:ascii="Times New Roman" w:hAnsi="Times New Roman"/>
          <w:b/>
          <w:sz w:val="24"/>
          <w:szCs w:val="24"/>
        </w:rPr>
        <w:t>Class wise Student Enrollment, Exam Appearance and Dro</w:t>
      </w:r>
      <w:r w:rsidR="00115F9F" w:rsidRPr="00343034">
        <w:rPr>
          <w:rFonts w:ascii="Times New Roman" w:hAnsi="Times New Roman"/>
          <w:b/>
          <w:sz w:val="24"/>
          <w:szCs w:val="24"/>
        </w:rPr>
        <w:t>pout Rate at academic year, 2020</w:t>
      </w:r>
    </w:p>
    <w:p w:rsidR="001C15C0" w:rsidRPr="00343034" w:rsidRDefault="001C15C0" w:rsidP="00343034">
      <w:pPr>
        <w:pStyle w:val="NormalWeb"/>
        <w:spacing w:before="0" w:beforeAutospacing="0" w:after="0" w:afterAutospacing="0" w:line="276" w:lineRule="auto"/>
        <w:jc w:val="both"/>
        <w:rPr>
          <w:rStyle w:val="text-with-replacments"/>
        </w:rPr>
      </w:pPr>
      <w:r w:rsidRPr="00343034">
        <w:rPr>
          <w:rStyle w:val="text-with-replacments"/>
        </w:rPr>
        <w:t>Furthermore, the presented table below will displa</w:t>
      </w:r>
      <w:r w:rsidR="00115F9F" w:rsidRPr="00343034">
        <w:rPr>
          <w:rStyle w:val="text-with-replacments"/>
        </w:rPr>
        <w:t>y the dropout statistics of 2020/21</w:t>
      </w:r>
      <w:r w:rsidRPr="00343034">
        <w:rPr>
          <w:rStyle w:val="text-with-replacments"/>
        </w:rPr>
        <w:t xml:space="preserve"> academic years for different academic levels at Baneshwor Multiple </w:t>
      </w:r>
      <w:r w:rsidR="00BE3491" w:rsidRPr="00343034">
        <w:rPr>
          <w:rStyle w:val="text-with-replacments"/>
        </w:rPr>
        <w:t>Campus</w:t>
      </w:r>
      <w:r w:rsidRPr="00343034">
        <w:rPr>
          <w:rStyle w:val="text-with-replacments"/>
        </w:rPr>
        <w:t xml:space="preserve">. The data includes the key features, including enrollment level, number of </w:t>
      </w:r>
      <w:r w:rsidR="00BE3491" w:rsidRPr="00343034">
        <w:rPr>
          <w:rStyle w:val="text-with-replacments"/>
        </w:rPr>
        <w:t>student’s</w:t>
      </w:r>
      <w:r w:rsidRPr="00343034">
        <w:rPr>
          <w:rStyle w:val="text-with-replacments"/>
        </w:rPr>
        <w:t xml:space="preserve"> exam participation, and dropout statistics which display in absolute terms as well as percentage of total enrollment.</w:t>
      </w:r>
    </w:p>
    <w:p w:rsidR="00F65CB3" w:rsidRPr="00343034" w:rsidRDefault="001C15C0" w:rsidP="00343034">
      <w:pPr>
        <w:pStyle w:val="NormalWeb"/>
        <w:spacing w:before="0" w:beforeAutospacing="0" w:after="0" w:afterAutospacing="0" w:line="276" w:lineRule="auto"/>
        <w:jc w:val="both"/>
        <w:rPr>
          <w:rStyle w:val="text-with-replacments"/>
        </w:rPr>
      </w:pPr>
      <w:r w:rsidRPr="00343034">
        <w:rPr>
          <w:rStyle w:val="text-with-replacments"/>
        </w:rPr>
        <w:t>Analysis of enrollment to exams shows a high level of engagement with total enrollment being 1484 students and 1245 actively participating in exams The pattern of enrollment is significantly different as the level of study increases, with BA 1</w:t>
      </w:r>
      <w:r w:rsidRPr="00343034">
        <w:rPr>
          <w:rStyle w:val="text-with-replacments"/>
          <w:vertAlign w:val="superscript"/>
        </w:rPr>
        <w:t>st</w:t>
      </w:r>
      <w:r w:rsidRPr="00343034">
        <w:rPr>
          <w:rStyle w:val="text-with-replacments"/>
        </w:rPr>
        <w:t>, BBS 1</w:t>
      </w:r>
      <w:r w:rsidRPr="00343034">
        <w:rPr>
          <w:rStyle w:val="text-with-replacments"/>
          <w:vertAlign w:val="superscript"/>
        </w:rPr>
        <w:t>st</w:t>
      </w:r>
      <w:r w:rsidRPr="00343034">
        <w:rPr>
          <w:rStyle w:val="text-with-replacments"/>
        </w:rPr>
        <w:t>, and BA 3</w:t>
      </w:r>
      <w:r w:rsidRPr="00343034">
        <w:rPr>
          <w:rStyle w:val="text-with-replacments"/>
          <w:vertAlign w:val="superscript"/>
        </w:rPr>
        <w:t>rd</w:t>
      </w:r>
      <w:r w:rsidR="00115F9F" w:rsidRPr="00343034">
        <w:rPr>
          <w:rStyle w:val="text-with-replacments"/>
        </w:rPr>
        <w:t xml:space="preserve"> years</w:t>
      </w:r>
      <w:r w:rsidRPr="00343034">
        <w:rPr>
          <w:rStyle w:val="text-with-replacments"/>
        </w:rPr>
        <w:t xml:space="preserve"> recording more enrollments during peak periods. </w:t>
      </w:r>
    </w:p>
    <w:p w:rsidR="001C15C0" w:rsidRPr="00343034" w:rsidRDefault="001C15C0" w:rsidP="00343034">
      <w:pPr>
        <w:pStyle w:val="NormalWeb"/>
        <w:spacing w:before="0" w:beforeAutospacing="0" w:after="0" w:afterAutospacing="0" w:line="276" w:lineRule="auto"/>
        <w:jc w:val="both"/>
        <w:rPr>
          <w:rStyle w:val="text-with-replacments"/>
        </w:rPr>
      </w:pPr>
      <w:r w:rsidRPr="00343034">
        <w:rPr>
          <w:rStyle w:val="text-with-replacments"/>
        </w:rPr>
        <w:t>The analysis of dropout rates is key</w:t>
      </w:r>
      <w:r w:rsidR="00B92126" w:rsidRPr="00343034">
        <w:rPr>
          <w:rStyle w:val="text-with-replacments"/>
        </w:rPr>
        <w:t xml:space="preserve"> focus</w:t>
      </w:r>
      <w:r w:rsidRPr="00343034">
        <w:rPr>
          <w:rStyle w:val="text-with-replacments"/>
        </w:rPr>
        <w:t>, for it can be regarded as a shared difficulty in keeping students within the academic system, which has a</w:t>
      </w:r>
      <w:r w:rsidR="00115F9F" w:rsidRPr="00343034">
        <w:rPr>
          <w:rStyle w:val="text-with-replacments"/>
        </w:rPr>
        <w:t>n overall dropout rate of 21.50 percent</w:t>
      </w:r>
      <w:r w:rsidRPr="00343034">
        <w:rPr>
          <w:rStyle w:val="text-with-replacments"/>
        </w:rPr>
        <w:t xml:space="preserve"> to worry about. The BBS </w:t>
      </w:r>
      <w:r w:rsidR="00115F9F" w:rsidRPr="00343034">
        <w:rPr>
          <w:rStyle w:val="text-with-replacments"/>
        </w:rPr>
        <w:t>program</w:t>
      </w:r>
      <w:r w:rsidRPr="00343034">
        <w:rPr>
          <w:rStyle w:val="text-with-replacments"/>
        </w:rPr>
        <w:t xml:space="preserve"> in 1</w:t>
      </w:r>
      <w:r w:rsidRPr="00343034">
        <w:rPr>
          <w:rStyle w:val="text-with-replacments"/>
          <w:vertAlign w:val="superscript"/>
        </w:rPr>
        <w:t>st</w:t>
      </w:r>
      <w:r w:rsidR="00115F9F" w:rsidRPr="00343034">
        <w:rPr>
          <w:rStyle w:val="text-with-replacments"/>
        </w:rPr>
        <w:t xml:space="preserve"> year</w:t>
      </w:r>
      <w:r w:rsidRPr="00343034">
        <w:rPr>
          <w:rStyle w:val="text-with-replacments"/>
        </w:rPr>
        <w:t xml:space="preserve"> has been especially alarming owing to the dropout rate of 33.22 per cent, reflecting prevalent attrition during the first year of the BBS study. Nevertheless, there are also significant dropout rates at the </w:t>
      </w:r>
      <w:r w:rsidR="00976FBF" w:rsidRPr="00343034">
        <w:rPr>
          <w:rStyle w:val="text-with-replacments"/>
        </w:rPr>
        <w:t xml:space="preserve">B.Ed. </w:t>
      </w:r>
      <w:r w:rsidR="00115F9F" w:rsidRPr="00343034">
        <w:rPr>
          <w:rStyle w:val="text-with-replacments"/>
        </w:rPr>
        <w:t>3</w:t>
      </w:r>
      <w:r w:rsidR="00115F9F" w:rsidRPr="00343034">
        <w:rPr>
          <w:rStyle w:val="text-with-replacments"/>
          <w:vertAlign w:val="superscript"/>
        </w:rPr>
        <w:t>rd</w:t>
      </w:r>
      <w:r w:rsidR="00115F9F" w:rsidRPr="00343034">
        <w:rPr>
          <w:rStyle w:val="text-with-replacments"/>
        </w:rPr>
        <w:t>, B.Ed. 1</w:t>
      </w:r>
      <w:r w:rsidR="00115F9F" w:rsidRPr="00343034">
        <w:rPr>
          <w:rStyle w:val="text-with-replacments"/>
          <w:vertAlign w:val="superscript"/>
        </w:rPr>
        <w:t>st</w:t>
      </w:r>
      <w:r w:rsidR="00115F9F" w:rsidRPr="00343034">
        <w:rPr>
          <w:rStyle w:val="text-with-replacments"/>
        </w:rPr>
        <w:t xml:space="preserve"> and BBS 2</w:t>
      </w:r>
      <w:r w:rsidR="00115F9F" w:rsidRPr="00343034">
        <w:rPr>
          <w:rStyle w:val="text-with-replacments"/>
          <w:vertAlign w:val="superscript"/>
        </w:rPr>
        <w:t>nd</w:t>
      </w:r>
      <w:r w:rsidR="00115F9F" w:rsidRPr="00343034">
        <w:rPr>
          <w:rStyle w:val="text-with-replacments"/>
        </w:rPr>
        <w:t xml:space="preserve"> years</w:t>
      </w:r>
      <w:r w:rsidRPr="00343034">
        <w:rPr>
          <w:rStyle w:val="text-with-replacments"/>
        </w:rPr>
        <w:t xml:space="preserve">, which are at </w:t>
      </w:r>
      <w:r w:rsidR="00115F9F" w:rsidRPr="00343034">
        <w:rPr>
          <w:rStyle w:val="text-with-replacments"/>
        </w:rPr>
        <w:t xml:space="preserve">28.57 </w:t>
      </w:r>
      <w:r w:rsidRPr="00343034">
        <w:rPr>
          <w:rStyle w:val="text-with-replacments"/>
        </w:rPr>
        <w:t>per cent</w:t>
      </w:r>
      <w:r w:rsidR="00115F9F" w:rsidRPr="00343034">
        <w:rPr>
          <w:rStyle w:val="text-with-replacments"/>
        </w:rPr>
        <w:t xml:space="preserve">, 27.78 percent </w:t>
      </w:r>
      <w:r w:rsidRPr="00343034">
        <w:rPr>
          <w:rStyle w:val="text-with-replacments"/>
        </w:rPr>
        <w:t>and 2</w:t>
      </w:r>
      <w:r w:rsidR="00115F9F" w:rsidRPr="00343034">
        <w:rPr>
          <w:rStyle w:val="text-with-replacments"/>
        </w:rPr>
        <w:t>6.53 per</w:t>
      </w:r>
      <w:r w:rsidRPr="00343034">
        <w:rPr>
          <w:rStyle w:val="text-with-replacments"/>
        </w:rPr>
        <w:t>cent respectively. Among the academic levels some are exception, they are outliers of the positive signs with lower dropout rate than the others. BBS 3</w:t>
      </w:r>
      <w:r w:rsidRPr="00343034">
        <w:rPr>
          <w:rStyle w:val="text-with-replacments"/>
          <w:vertAlign w:val="superscript"/>
        </w:rPr>
        <w:t>rd</w:t>
      </w:r>
      <w:r w:rsidR="00115F9F" w:rsidRPr="00343034">
        <w:rPr>
          <w:rStyle w:val="text-with-replacments"/>
        </w:rPr>
        <w:t xml:space="preserve"> </w:t>
      </w:r>
      <w:r w:rsidRPr="00343034">
        <w:rPr>
          <w:rStyle w:val="text-with-replacments"/>
        </w:rPr>
        <w:t>and B.Ed. 4</w:t>
      </w:r>
      <w:r w:rsidRPr="00343034">
        <w:rPr>
          <w:rStyle w:val="text-with-replacments"/>
          <w:vertAlign w:val="superscript"/>
        </w:rPr>
        <w:t>th</w:t>
      </w:r>
      <w:r w:rsidR="00115F9F" w:rsidRPr="00343034">
        <w:rPr>
          <w:rStyle w:val="text-with-replacments"/>
        </w:rPr>
        <w:t xml:space="preserve"> year</w:t>
      </w:r>
      <w:r w:rsidRPr="00343034">
        <w:rPr>
          <w:rStyle w:val="text-with-replacments"/>
        </w:rPr>
        <w:t xml:space="preserve"> report app</w:t>
      </w:r>
      <w:r w:rsidR="00115F9F" w:rsidRPr="00343034">
        <w:rPr>
          <w:rStyle w:val="text-with-replacments"/>
        </w:rPr>
        <w:t>roximately 2.61 percent</w:t>
      </w:r>
      <w:r w:rsidRPr="00343034">
        <w:rPr>
          <w:rStyle w:val="text-with-replacments"/>
        </w:rPr>
        <w:t xml:space="preserve"> and zero dropout rate</w:t>
      </w:r>
      <w:r w:rsidR="00115F9F" w:rsidRPr="00343034">
        <w:rPr>
          <w:rStyle w:val="text-with-replacments"/>
        </w:rPr>
        <w:t>s. Over and above that, at 3.13 percent and 2.56 percent, MBS 1</w:t>
      </w:r>
      <w:r w:rsidR="00115F9F" w:rsidRPr="00343034">
        <w:rPr>
          <w:rStyle w:val="text-with-replacments"/>
          <w:vertAlign w:val="superscript"/>
        </w:rPr>
        <w:t>st</w:t>
      </w:r>
      <w:r w:rsidR="00115F9F" w:rsidRPr="00343034">
        <w:rPr>
          <w:rStyle w:val="text-with-replacments"/>
        </w:rPr>
        <w:t xml:space="preserve"> semester and MA 2</w:t>
      </w:r>
      <w:r w:rsidR="00115F9F" w:rsidRPr="00343034">
        <w:rPr>
          <w:rStyle w:val="text-with-replacments"/>
          <w:vertAlign w:val="superscript"/>
        </w:rPr>
        <w:t>nd</w:t>
      </w:r>
      <w:r w:rsidR="00115F9F" w:rsidRPr="00343034">
        <w:rPr>
          <w:rStyle w:val="text-with-replacments"/>
        </w:rPr>
        <w:t xml:space="preserve"> semester has</w:t>
      </w:r>
      <w:r w:rsidRPr="00343034">
        <w:rPr>
          <w:rStyle w:val="text-with-replacments"/>
        </w:rPr>
        <w:t xml:space="preserve"> the lowest dropout rates, which suggest that the trend of retention in post graduate programs is high. Abnormal observation is reported from BBS 4</w:t>
      </w:r>
      <w:r w:rsidRPr="00343034">
        <w:rPr>
          <w:rStyle w:val="text-with-replacments"/>
          <w:vertAlign w:val="superscript"/>
        </w:rPr>
        <w:t>th</w:t>
      </w:r>
      <w:r w:rsidRPr="00343034">
        <w:rPr>
          <w:rStyle w:val="text-with-replacments"/>
        </w:rPr>
        <w:t xml:space="preserve">, which measures negative dropout rate of </w:t>
      </w:r>
      <w:r w:rsidR="00115F9F" w:rsidRPr="00343034">
        <w:rPr>
          <w:rStyle w:val="text-with-replacments"/>
        </w:rPr>
        <w:t>minus six (-6%) per</w:t>
      </w:r>
      <w:r w:rsidRPr="00343034">
        <w:rPr>
          <w:rStyle w:val="text-with-replacments"/>
        </w:rPr>
        <w:t xml:space="preserve">cent. </w:t>
      </w:r>
      <w:r w:rsidR="00115F9F" w:rsidRPr="00343034">
        <w:rPr>
          <w:rStyle w:val="text-with-replacments"/>
        </w:rPr>
        <w:t>It should be the cause of positive transfer of students at BBS 4</w:t>
      </w:r>
      <w:r w:rsidR="00115F9F" w:rsidRPr="00343034">
        <w:rPr>
          <w:rStyle w:val="text-with-replacments"/>
          <w:vertAlign w:val="superscript"/>
        </w:rPr>
        <w:t>th</w:t>
      </w:r>
      <w:r w:rsidR="00115F9F" w:rsidRPr="00343034">
        <w:rPr>
          <w:rStyle w:val="text-with-replacments"/>
        </w:rPr>
        <w:t xml:space="preserve"> year from other college. </w:t>
      </w:r>
    </w:p>
    <w:p w:rsidR="007264DD" w:rsidRPr="00343034" w:rsidRDefault="001C15C0" w:rsidP="00343034">
      <w:pPr>
        <w:pStyle w:val="NormalWeb"/>
        <w:spacing w:before="0" w:beforeAutospacing="0" w:after="0" w:afterAutospacing="0" w:line="276" w:lineRule="auto"/>
        <w:jc w:val="both"/>
        <w:rPr>
          <w:rStyle w:val="text-with-replacments"/>
        </w:rPr>
      </w:pPr>
      <w:r w:rsidRPr="00343034">
        <w:rPr>
          <w:rStyle w:val="text-with-replacments"/>
        </w:rPr>
        <w:t>The patterns and trends noted reinforce the importance of targeted responses to solve the challenges which are distinct for each academic program. It becomes very important to look in deep for the reasons of high dropout rates in programs with more attrition, which significantly affects the design of the retention strategies.</w:t>
      </w:r>
    </w:p>
    <w:tbl>
      <w:tblPr>
        <w:tblW w:w="9101" w:type="dxa"/>
        <w:tblInd w:w="113" w:type="dxa"/>
        <w:tblLook w:val="04A0" w:firstRow="1" w:lastRow="0" w:firstColumn="1" w:lastColumn="0" w:noHBand="0" w:noVBand="1"/>
      </w:tblPr>
      <w:tblGrid>
        <w:gridCol w:w="2335"/>
        <w:gridCol w:w="1505"/>
        <w:gridCol w:w="2316"/>
        <w:gridCol w:w="1283"/>
        <w:gridCol w:w="1662"/>
      </w:tblGrid>
      <w:tr w:rsidR="00F2352C" w:rsidRPr="00343034" w:rsidTr="00565BB9">
        <w:trPr>
          <w:trHeight w:val="405"/>
        </w:trPr>
        <w:tc>
          <w:tcPr>
            <w:tcW w:w="910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264DD" w:rsidRPr="00343034" w:rsidRDefault="007264DD" w:rsidP="00343034">
            <w:pPr>
              <w:spacing w:after="0"/>
              <w:jc w:val="center"/>
              <w:rPr>
                <w:rFonts w:ascii="Times New Roman" w:eastAsia="Times New Roman" w:hAnsi="Times New Roman"/>
                <w:b/>
                <w:sz w:val="24"/>
                <w:szCs w:val="24"/>
              </w:rPr>
            </w:pPr>
            <w:r w:rsidRPr="00343034">
              <w:rPr>
                <w:rFonts w:ascii="Times New Roman" w:eastAsia="Times New Roman" w:hAnsi="Times New Roman"/>
                <w:b/>
                <w:sz w:val="24"/>
                <w:szCs w:val="24"/>
              </w:rPr>
              <w:t xml:space="preserve">Table 1: </w:t>
            </w:r>
          </w:p>
          <w:p w:rsidR="00F2352C" w:rsidRPr="00343034" w:rsidRDefault="00C67706" w:rsidP="00343034">
            <w:pPr>
              <w:spacing w:after="0"/>
              <w:jc w:val="center"/>
              <w:rPr>
                <w:rFonts w:ascii="Times New Roman" w:eastAsia="Times New Roman" w:hAnsi="Times New Roman"/>
                <w:b/>
                <w:sz w:val="24"/>
                <w:szCs w:val="24"/>
              </w:rPr>
            </w:pPr>
            <w:r w:rsidRPr="00343034">
              <w:rPr>
                <w:rFonts w:ascii="Times New Roman" w:eastAsia="Times New Roman" w:hAnsi="Times New Roman"/>
                <w:b/>
                <w:sz w:val="24"/>
                <w:szCs w:val="24"/>
              </w:rPr>
              <w:t>Students Enrollment an</w:t>
            </w:r>
            <w:r w:rsidR="00680E84" w:rsidRPr="00343034">
              <w:rPr>
                <w:rFonts w:ascii="Times New Roman" w:eastAsia="Times New Roman" w:hAnsi="Times New Roman"/>
                <w:b/>
                <w:sz w:val="24"/>
                <w:szCs w:val="24"/>
              </w:rPr>
              <w:t>d Dropout Status of Campus, 2020</w:t>
            </w:r>
          </w:p>
        </w:tc>
      </w:tr>
      <w:tr w:rsidR="00F2352C" w:rsidRPr="00343034" w:rsidTr="00855ECF">
        <w:trPr>
          <w:trHeight w:val="405"/>
        </w:trPr>
        <w:tc>
          <w:tcPr>
            <w:tcW w:w="2335" w:type="dxa"/>
            <w:tcBorders>
              <w:top w:val="nil"/>
              <w:left w:val="single" w:sz="4" w:space="0" w:color="auto"/>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Level</w:t>
            </w:r>
          </w:p>
        </w:tc>
        <w:tc>
          <w:tcPr>
            <w:tcW w:w="1505" w:type="dxa"/>
            <w:tcBorders>
              <w:top w:val="nil"/>
              <w:left w:val="nil"/>
              <w:bottom w:val="single" w:sz="4" w:space="0" w:color="auto"/>
              <w:right w:val="single" w:sz="4" w:space="0" w:color="auto"/>
            </w:tcBorders>
            <w:shd w:val="clear" w:color="auto" w:fill="auto"/>
            <w:noWrap/>
            <w:vAlign w:val="center"/>
            <w:hideMark/>
          </w:tcPr>
          <w:p w:rsidR="00855ECF" w:rsidRPr="00343034" w:rsidRDefault="00F2352C"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Enroll</w:t>
            </w:r>
            <w:r w:rsidR="00C67706" w:rsidRPr="00343034">
              <w:rPr>
                <w:rFonts w:ascii="Times New Roman" w:eastAsia="Times New Roman" w:hAnsi="Times New Roman"/>
                <w:sz w:val="24"/>
                <w:szCs w:val="24"/>
              </w:rPr>
              <w:t>ment</w:t>
            </w:r>
          </w:p>
          <w:p w:rsidR="00F2352C" w:rsidRPr="00343034" w:rsidRDefault="00855ECF"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Number</w:t>
            </w:r>
            <w:r w:rsidR="00C67706" w:rsidRPr="00343034">
              <w:rPr>
                <w:rFonts w:ascii="Times New Roman" w:eastAsia="Times New Roman" w:hAnsi="Times New Roman"/>
                <w:sz w:val="24"/>
                <w:szCs w:val="24"/>
              </w:rPr>
              <w:t xml:space="preserve"> </w:t>
            </w:r>
          </w:p>
        </w:tc>
        <w:tc>
          <w:tcPr>
            <w:tcW w:w="2316" w:type="dxa"/>
            <w:tcBorders>
              <w:top w:val="nil"/>
              <w:left w:val="nil"/>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Exam appeared</w:t>
            </w:r>
          </w:p>
          <w:p w:rsidR="00855ECF" w:rsidRPr="00343034" w:rsidRDefault="00855ECF"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Number</w:t>
            </w:r>
          </w:p>
        </w:tc>
        <w:tc>
          <w:tcPr>
            <w:tcW w:w="1283" w:type="dxa"/>
            <w:tcBorders>
              <w:top w:val="nil"/>
              <w:left w:val="nil"/>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Dropout</w:t>
            </w:r>
          </w:p>
          <w:p w:rsidR="00855ECF" w:rsidRPr="00343034" w:rsidRDefault="00855ECF"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Number</w:t>
            </w:r>
          </w:p>
        </w:tc>
        <w:tc>
          <w:tcPr>
            <w:tcW w:w="1662" w:type="dxa"/>
            <w:tcBorders>
              <w:top w:val="nil"/>
              <w:left w:val="nil"/>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 xml:space="preserve">Dropout </w:t>
            </w:r>
            <w:r w:rsidR="007264DD" w:rsidRPr="00343034">
              <w:rPr>
                <w:rFonts w:ascii="Times New Roman" w:eastAsia="Times New Roman" w:hAnsi="Times New Roman"/>
                <w:sz w:val="24"/>
                <w:szCs w:val="24"/>
              </w:rPr>
              <w:t>per cent</w:t>
            </w:r>
          </w:p>
        </w:tc>
      </w:tr>
      <w:tr w:rsidR="00F2352C" w:rsidRPr="00343034" w:rsidTr="00855ECF">
        <w:trPr>
          <w:trHeight w:val="405"/>
        </w:trPr>
        <w:tc>
          <w:tcPr>
            <w:tcW w:w="2335" w:type="dxa"/>
            <w:tcBorders>
              <w:top w:val="nil"/>
              <w:left w:val="single" w:sz="4" w:space="0" w:color="auto"/>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BA 1st</w:t>
            </w:r>
          </w:p>
        </w:tc>
        <w:tc>
          <w:tcPr>
            <w:tcW w:w="1505" w:type="dxa"/>
            <w:tcBorders>
              <w:top w:val="nil"/>
              <w:left w:val="nil"/>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261</w:t>
            </w:r>
          </w:p>
        </w:tc>
        <w:tc>
          <w:tcPr>
            <w:tcW w:w="2316" w:type="dxa"/>
            <w:tcBorders>
              <w:top w:val="nil"/>
              <w:left w:val="nil"/>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196</w:t>
            </w:r>
          </w:p>
        </w:tc>
        <w:tc>
          <w:tcPr>
            <w:tcW w:w="1283" w:type="dxa"/>
            <w:tcBorders>
              <w:top w:val="nil"/>
              <w:left w:val="nil"/>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65</w:t>
            </w:r>
          </w:p>
        </w:tc>
        <w:tc>
          <w:tcPr>
            <w:tcW w:w="1662" w:type="dxa"/>
            <w:tcBorders>
              <w:top w:val="nil"/>
              <w:left w:val="nil"/>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24.90</w:t>
            </w:r>
          </w:p>
        </w:tc>
      </w:tr>
      <w:tr w:rsidR="00F2352C" w:rsidRPr="00343034" w:rsidTr="00855ECF">
        <w:trPr>
          <w:trHeight w:val="405"/>
        </w:trPr>
        <w:tc>
          <w:tcPr>
            <w:tcW w:w="2335" w:type="dxa"/>
            <w:tcBorders>
              <w:top w:val="nil"/>
              <w:left w:val="single" w:sz="4" w:space="0" w:color="auto"/>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BA 2nd</w:t>
            </w:r>
          </w:p>
        </w:tc>
        <w:tc>
          <w:tcPr>
            <w:tcW w:w="1505" w:type="dxa"/>
            <w:tcBorders>
              <w:top w:val="nil"/>
              <w:left w:val="nil"/>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198</w:t>
            </w:r>
          </w:p>
        </w:tc>
        <w:tc>
          <w:tcPr>
            <w:tcW w:w="2316" w:type="dxa"/>
            <w:tcBorders>
              <w:top w:val="nil"/>
              <w:left w:val="nil"/>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169</w:t>
            </w:r>
          </w:p>
        </w:tc>
        <w:tc>
          <w:tcPr>
            <w:tcW w:w="1283" w:type="dxa"/>
            <w:tcBorders>
              <w:top w:val="nil"/>
              <w:left w:val="nil"/>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29</w:t>
            </w:r>
          </w:p>
        </w:tc>
        <w:tc>
          <w:tcPr>
            <w:tcW w:w="1662" w:type="dxa"/>
            <w:tcBorders>
              <w:top w:val="nil"/>
              <w:left w:val="nil"/>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14.65</w:t>
            </w:r>
          </w:p>
        </w:tc>
      </w:tr>
      <w:tr w:rsidR="00F2352C" w:rsidRPr="00343034" w:rsidTr="00855ECF">
        <w:trPr>
          <w:trHeight w:val="405"/>
        </w:trPr>
        <w:tc>
          <w:tcPr>
            <w:tcW w:w="2335" w:type="dxa"/>
            <w:tcBorders>
              <w:top w:val="nil"/>
              <w:left w:val="single" w:sz="4" w:space="0" w:color="auto"/>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BA 3rd</w:t>
            </w:r>
          </w:p>
        </w:tc>
        <w:tc>
          <w:tcPr>
            <w:tcW w:w="1505" w:type="dxa"/>
            <w:tcBorders>
              <w:top w:val="nil"/>
              <w:left w:val="nil"/>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209</w:t>
            </w:r>
          </w:p>
        </w:tc>
        <w:tc>
          <w:tcPr>
            <w:tcW w:w="2316" w:type="dxa"/>
            <w:tcBorders>
              <w:top w:val="nil"/>
              <w:left w:val="nil"/>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162</w:t>
            </w:r>
          </w:p>
        </w:tc>
        <w:tc>
          <w:tcPr>
            <w:tcW w:w="1283" w:type="dxa"/>
            <w:tcBorders>
              <w:top w:val="nil"/>
              <w:left w:val="nil"/>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47</w:t>
            </w:r>
          </w:p>
        </w:tc>
        <w:tc>
          <w:tcPr>
            <w:tcW w:w="1662" w:type="dxa"/>
            <w:tcBorders>
              <w:top w:val="nil"/>
              <w:left w:val="nil"/>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22.49</w:t>
            </w:r>
          </w:p>
        </w:tc>
      </w:tr>
      <w:tr w:rsidR="00F2352C" w:rsidRPr="00343034" w:rsidTr="00855ECF">
        <w:trPr>
          <w:trHeight w:val="405"/>
        </w:trPr>
        <w:tc>
          <w:tcPr>
            <w:tcW w:w="2335" w:type="dxa"/>
            <w:tcBorders>
              <w:top w:val="nil"/>
              <w:left w:val="single" w:sz="4" w:space="0" w:color="auto"/>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BBS 1st</w:t>
            </w:r>
          </w:p>
        </w:tc>
        <w:tc>
          <w:tcPr>
            <w:tcW w:w="1505" w:type="dxa"/>
            <w:tcBorders>
              <w:top w:val="nil"/>
              <w:left w:val="nil"/>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286</w:t>
            </w:r>
          </w:p>
        </w:tc>
        <w:tc>
          <w:tcPr>
            <w:tcW w:w="2316" w:type="dxa"/>
            <w:tcBorders>
              <w:top w:val="nil"/>
              <w:left w:val="nil"/>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191</w:t>
            </w:r>
          </w:p>
        </w:tc>
        <w:tc>
          <w:tcPr>
            <w:tcW w:w="1283" w:type="dxa"/>
            <w:tcBorders>
              <w:top w:val="nil"/>
              <w:left w:val="nil"/>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95</w:t>
            </w:r>
          </w:p>
        </w:tc>
        <w:tc>
          <w:tcPr>
            <w:tcW w:w="1662" w:type="dxa"/>
            <w:tcBorders>
              <w:top w:val="nil"/>
              <w:left w:val="nil"/>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33.22</w:t>
            </w:r>
          </w:p>
        </w:tc>
      </w:tr>
      <w:tr w:rsidR="00F2352C" w:rsidRPr="00343034" w:rsidTr="00855ECF">
        <w:trPr>
          <w:trHeight w:val="405"/>
        </w:trPr>
        <w:tc>
          <w:tcPr>
            <w:tcW w:w="2335" w:type="dxa"/>
            <w:tcBorders>
              <w:top w:val="nil"/>
              <w:left w:val="single" w:sz="4" w:space="0" w:color="auto"/>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BBS 2nd</w:t>
            </w:r>
          </w:p>
        </w:tc>
        <w:tc>
          <w:tcPr>
            <w:tcW w:w="1505" w:type="dxa"/>
            <w:tcBorders>
              <w:top w:val="nil"/>
              <w:left w:val="nil"/>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147</w:t>
            </w:r>
          </w:p>
        </w:tc>
        <w:tc>
          <w:tcPr>
            <w:tcW w:w="2316" w:type="dxa"/>
            <w:tcBorders>
              <w:top w:val="nil"/>
              <w:left w:val="nil"/>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108</w:t>
            </w:r>
          </w:p>
        </w:tc>
        <w:tc>
          <w:tcPr>
            <w:tcW w:w="1283" w:type="dxa"/>
            <w:tcBorders>
              <w:top w:val="nil"/>
              <w:left w:val="nil"/>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39</w:t>
            </w:r>
          </w:p>
        </w:tc>
        <w:tc>
          <w:tcPr>
            <w:tcW w:w="1662" w:type="dxa"/>
            <w:tcBorders>
              <w:top w:val="nil"/>
              <w:left w:val="nil"/>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26.53</w:t>
            </w:r>
          </w:p>
        </w:tc>
      </w:tr>
      <w:tr w:rsidR="00F2352C" w:rsidRPr="00343034" w:rsidTr="00855ECF">
        <w:trPr>
          <w:trHeight w:val="405"/>
        </w:trPr>
        <w:tc>
          <w:tcPr>
            <w:tcW w:w="2335" w:type="dxa"/>
            <w:tcBorders>
              <w:top w:val="nil"/>
              <w:left w:val="single" w:sz="4" w:space="0" w:color="auto"/>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BBS 3rd</w:t>
            </w:r>
          </w:p>
        </w:tc>
        <w:tc>
          <w:tcPr>
            <w:tcW w:w="1505" w:type="dxa"/>
            <w:tcBorders>
              <w:top w:val="nil"/>
              <w:left w:val="nil"/>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115</w:t>
            </w:r>
          </w:p>
        </w:tc>
        <w:tc>
          <w:tcPr>
            <w:tcW w:w="2316" w:type="dxa"/>
            <w:tcBorders>
              <w:top w:val="nil"/>
              <w:left w:val="nil"/>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112</w:t>
            </w:r>
          </w:p>
        </w:tc>
        <w:tc>
          <w:tcPr>
            <w:tcW w:w="1283" w:type="dxa"/>
            <w:tcBorders>
              <w:top w:val="nil"/>
              <w:left w:val="nil"/>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3</w:t>
            </w:r>
          </w:p>
        </w:tc>
        <w:tc>
          <w:tcPr>
            <w:tcW w:w="1662" w:type="dxa"/>
            <w:tcBorders>
              <w:top w:val="nil"/>
              <w:left w:val="nil"/>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2.61</w:t>
            </w:r>
          </w:p>
        </w:tc>
      </w:tr>
      <w:tr w:rsidR="00F2352C" w:rsidRPr="00343034" w:rsidTr="00855ECF">
        <w:trPr>
          <w:trHeight w:val="405"/>
        </w:trPr>
        <w:tc>
          <w:tcPr>
            <w:tcW w:w="2335" w:type="dxa"/>
            <w:tcBorders>
              <w:top w:val="nil"/>
              <w:left w:val="single" w:sz="4" w:space="0" w:color="auto"/>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BBS 4th</w:t>
            </w:r>
          </w:p>
        </w:tc>
        <w:tc>
          <w:tcPr>
            <w:tcW w:w="1505" w:type="dxa"/>
            <w:tcBorders>
              <w:top w:val="nil"/>
              <w:left w:val="nil"/>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99</w:t>
            </w:r>
          </w:p>
        </w:tc>
        <w:tc>
          <w:tcPr>
            <w:tcW w:w="2316" w:type="dxa"/>
            <w:tcBorders>
              <w:top w:val="nil"/>
              <w:left w:val="nil"/>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105</w:t>
            </w:r>
          </w:p>
        </w:tc>
        <w:tc>
          <w:tcPr>
            <w:tcW w:w="1283" w:type="dxa"/>
            <w:tcBorders>
              <w:top w:val="nil"/>
              <w:left w:val="nil"/>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-6</w:t>
            </w:r>
          </w:p>
        </w:tc>
        <w:tc>
          <w:tcPr>
            <w:tcW w:w="1662" w:type="dxa"/>
            <w:tcBorders>
              <w:top w:val="nil"/>
              <w:left w:val="nil"/>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 -</w:t>
            </w:r>
            <w:r w:rsidR="00855ECF" w:rsidRPr="00343034">
              <w:rPr>
                <w:rFonts w:ascii="Times New Roman" w:eastAsia="Times New Roman" w:hAnsi="Times New Roman"/>
                <w:sz w:val="24"/>
                <w:szCs w:val="24"/>
              </w:rPr>
              <w:t>6.1</w:t>
            </w:r>
          </w:p>
        </w:tc>
      </w:tr>
      <w:tr w:rsidR="00F2352C" w:rsidRPr="00343034" w:rsidTr="00855ECF">
        <w:trPr>
          <w:trHeight w:val="405"/>
        </w:trPr>
        <w:tc>
          <w:tcPr>
            <w:tcW w:w="2335" w:type="dxa"/>
            <w:tcBorders>
              <w:top w:val="nil"/>
              <w:left w:val="single" w:sz="4" w:space="0" w:color="auto"/>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B.Ed</w:t>
            </w:r>
            <w:r w:rsidR="007264DD" w:rsidRPr="00343034">
              <w:rPr>
                <w:rFonts w:ascii="Times New Roman" w:eastAsia="Times New Roman" w:hAnsi="Times New Roman"/>
                <w:sz w:val="24"/>
                <w:szCs w:val="24"/>
              </w:rPr>
              <w:t>.</w:t>
            </w:r>
            <w:r w:rsidRPr="00343034">
              <w:rPr>
                <w:rFonts w:ascii="Times New Roman" w:eastAsia="Times New Roman" w:hAnsi="Times New Roman"/>
                <w:sz w:val="24"/>
                <w:szCs w:val="24"/>
              </w:rPr>
              <w:t xml:space="preserve"> 1st</w:t>
            </w:r>
          </w:p>
        </w:tc>
        <w:tc>
          <w:tcPr>
            <w:tcW w:w="1505" w:type="dxa"/>
            <w:tcBorders>
              <w:top w:val="nil"/>
              <w:left w:val="nil"/>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126</w:t>
            </w:r>
          </w:p>
        </w:tc>
        <w:tc>
          <w:tcPr>
            <w:tcW w:w="2316" w:type="dxa"/>
            <w:tcBorders>
              <w:top w:val="nil"/>
              <w:left w:val="nil"/>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91</w:t>
            </w:r>
          </w:p>
        </w:tc>
        <w:tc>
          <w:tcPr>
            <w:tcW w:w="1283" w:type="dxa"/>
            <w:tcBorders>
              <w:top w:val="nil"/>
              <w:left w:val="nil"/>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35</w:t>
            </w:r>
          </w:p>
        </w:tc>
        <w:tc>
          <w:tcPr>
            <w:tcW w:w="1662" w:type="dxa"/>
            <w:tcBorders>
              <w:top w:val="nil"/>
              <w:left w:val="nil"/>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27.78</w:t>
            </w:r>
          </w:p>
        </w:tc>
      </w:tr>
      <w:tr w:rsidR="00F2352C" w:rsidRPr="00343034" w:rsidTr="00855ECF">
        <w:trPr>
          <w:trHeight w:val="405"/>
        </w:trPr>
        <w:tc>
          <w:tcPr>
            <w:tcW w:w="2335" w:type="dxa"/>
            <w:tcBorders>
              <w:top w:val="nil"/>
              <w:left w:val="single" w:sz="4" w:space="0" w:color="auto"/>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B.Ed</w:t>
            </w:r>
            <w:r w:rsidR="007264DD" w:rsidRPr="00343034">
              <w:rPr>
                <w:rFonts w:ascii="Times New Roman" w:eastAsia="Times New Roman" w:hAnsi="Times New Roman"/>
                <w:sz w:val="24"/>
                <w:szCs w:val="24"/>
              </w:rPr>
              <w:t>.</w:t>
            </w:r>
            <w:r w:rsidRPr="00343034">
              <w:rPr>
                <w:rFonts w:ascii="Times New Roman" w:eastAsia="Times New Roman" w:hAnsi="Times New Roman"/>
                <w:sz w:val="24"/>
                <w:szCs w:val="24"/>
              </w:rPr>
              <w:t xml:space="preserve"> 2nd</w:t>
            </w:r>
          </w:p>
        </w:tc>
        <w:tc>
          <w:tcPr>
            <w:tcW w:w="1505" w:type="dxa"/>
            <w:tcBorders>
              <w:top w:val="nil"/>
              <w:left w:val="nil"/>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22</w:t>
            </w:r>
          </w:p>
        </w:tc>
        <w:tc>
          <w:tcPr>
            <w:tcW w:w="2316" w:type="dxa"/>
            <w:tcBorders>
              <w:top w:val="nil"/>
              <w:left w:val="nil"/>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17</w:t>
            </w:r>
          </w:p>
        </w:tc>
        <w:tc>
          <w:tcPr>
            <w:tcW w:w="1283" w:type="dxa"/>
            <w:tcBorders>
              <w:top w:val="nil"/>
              <w:left w:val="nil"/>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5</w:t>
            </w:r>
          </w:p>
        </w:tc>
        <w:tc>
          <w:tcPr>
            <w:tcW w:w="1662" w:type="dxa"/>
            <w:tcBorders>
              <w:top w:val="nil"/>
              <w:left w:val="nil"/>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22.73</w:t>
            </w:r>
          </w:p>
        </w:tc>
      </w:tr>
      <w:tr w:rsidR="00F2352C" w:rsidRPr="00343034" w:rsidTr="00855ECF">
        <w:trPr>
          <w:trHeight w:val="405"/>
        </w:trPr>
        <w:tc>
          <w:tcPr>
            <w:tcW w:w="2335" w:type="dxa"/>
            <w:tcBorders>
              <w:top w:val="nil"/>
              <w:left w:val="single" w:sz="4" w:space="0" w:color="auto"/>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B.Ed</w:t>
            </w:r>
            <w:r w:rsidR="007264DD" w:rsidRPr="00343034">
              <w:rPr>
                <w:rFonts w:ascii="Times New Roman" w:eastAsia="Times New Roman" w:hAnsi="Times New Roman"/>
                <w:sz w:val="24"/>
                <w:szCs w:val="24"/>
              </w:rPr>
              <w:t>.</w:t>
            </w:r>
            <w:r w:rsidRPr="00343034">
              <w:rPr>
                <w:rFonts w:ascii="Times New Roman" w:eastAsia="Times New Roman" w:hAnsi="Times New Roman"/>
                <w:sz w:val="24"/>
                <w:szCs w:val="24"/>
              </w:rPr>
              <w:t xml:space="preserve"> 3rd</w:t>
            </w:r>
          </w:p>
        </w:tc>
        <w:tc>
          <w:tcPr>
            <w:tcW w:w="1505" w:type="dxa"/>
            <w:tcBorders>
              <w:top w:val="nil"/>
              <w:left w:val="nil"/>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14</w:t>
            </w:r>
          </w:p>
        </w:tc>
        <w:tc>
          <w:tcPr>
            <w:tcW w:w="2316" w:type="dxa"/>
            <w:tcBorders>
              <w:top w:val="nil"/>
              <w:left w:val="nil"/>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10</w:t>
            </w:r>
          </w:p>
        </w:tc>
        <w:tc>
          <w:tcPr>
            <w:tcW w:w="1283" w:type="dxa"/>
            <w:tcBorders>
              <w:top w:val="nil"/>
              <w:left w:val="nil"/>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4</w:t>
            </w:r>
          </w:p>
        </w:tc>
        <w:tc>
          <w:tcPr>
            <w:tcW w:w="1662" w:type="dxa"/>
            <w:tcBorders>
              <w:top w:val="nil"/>
              <w:left w:val="nil"/>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28.57</w:t>
            </w:r>
          </w:p>
        </w:tc>
      </w:tr>
      <w:tr w:rsidR="00F2352C" w:rsidRPr="00343034" w:rsidTr="00855ECF">
        <w:trPr>
          <w:trHeight w:val="420"/>
        </w:trPr>
        <w:tc>
          <w:tcPr>
            <w:tcW w:w="2335" w:type="dxa"/>
            <w:tcBorders>
              <w:top w:val="nil"/>
              <w:left w:val="single" w:sz="4" w:space="0" w:color="auto"/>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B.Ed</w:t>
            </w:r>
            <w:r w:rsidR="007264DD" w:rsidRPr="00343034">
              <w:rPr>
                <w:rFonts w:ascii="Times New Roman" w:eastAsia="Times New Roman" w:hAnsi="Times New Roman"/>
                <w:sz w:val="24"/>
                <w:szCs w:val="24"/>
              </w:rPr>
              <w:t>.</w:t>
            </w:r>
            <w:r w:rsidRPr="00343034">
              <w:rPr>
                <w:rFonts w:ascii="Times New Roman" w:eastAsia="Times New Roman" w:hAnsi="Times New Roman"/>
                <w:sz w:val="24"/>
                <w:szCs w:val="24"/>
              </w:rPr>
              <w:t xml:space="preserve"> 4th</w:t>
            </w:r>
          </w:p>
        </w:tc>
        <w:tc>
          <w:tcPr>
            <w:tcW w:w="1505" w:type="dxa"/>
            <w:tcBorders>
              <w:top w:val="nil"/>
              <w:left w:val="nil"/>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7</w:t>
            </w:r>
          </w:p>
        </w:tc>
        <w:tc>
          <w:tcPr>
            <w:tcW w:w="2316" w:type="dxa"/>
            <w:tcBorders>
              <w:top w:val="nil"/>
              <w:left w:val="nil"/>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7</w:t>
            </w:r>
          </w:p>
        </w:tc>
        <w:tc>
          <w:tcPr>
            <w:tcW w:w="1283" w:type="dxa"/>
            <w:tcBorders>
              <w:top w:val="nil"/>
              <w:left w:val="nil"/>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0</w:t>
            </w:r>
          </w:p>
        </w:tc>
        <w:tc>
          <w:tcPr>
            <w:tcW w:w="1662" w:type="dxa"/>
            <w:tcBorders>
              <w:top w:val="nil"/>
              <w:left w:val="nil"/>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0.00</w:t>
            </w:r>
          </w:p>
        </w:tc>
      </w:tr>
      <w:tr w:rsidR="00F2352C" w:rsidRPr="00343034" w:rsidTr="00855ECF">
        <w:trPr>
          <w:trHeight w:val="420"/>
        </w:trPr>
        <w:tc>
          <w:tcPr>
            <w:tcW w:w="2335" w:type="dxa"/>
            <w:tcBorders>
              <w:top w:val="nil"/>
              <w:left w:val="single" w:sz="4" w:space="0" w:color="auto"/>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MBS 1</w:t>
            </w:r>
            <w:r w:rsidRPr="00343034">
              <w:rPr>
                <w:rFonts w:ascii="Times New Roman" w:eastAsia="Times New Roman" w:hAnsi="Times New Roman"/>
                <w:sz w:val="24"/>
                <w:szCs w:val="24"/>
                <w:vertAlign w:val="superscript"/>
              </w:rPr>
              <w:t>st</w:t>
            </w:r>
            <w:r w:rsidR="00855ECF" w:rsidRPr="00343034">
              <w:rPr>
                <w:rFonts w:ascii="Times New Roman" w:eastAsia="Times New Roman" w:hAnsi="Times New Roman"/>
                <w:sz w:val="24"/>
                <w:szCs w:val="24"/>
              </w:rPr>
              <w:t xml:space="preserve"> </w:t>
            </w:r>
            <w:r w:rsidR="00BE3491" w:rsidRPr="00343034">
              <w:rPr>
                <w:rFonts w:ascii="Times New Roman" w:eastAsia="Times New Roman" w:hAnsi="Times New Roman"/>
                <w:sz w:val="24"/>
                <w:szCs w:val="24"/>
              </w:rPr>
              <w:t>Semester</w:t>
            </w:r>
          </w:p>
        </w:tc>
        <w:tc>
          <w:tcPr>
            <w:tcW w:w="1505" w:type="dxa"/>
            <w:tcBorders>
              <w:top w:val="nil"/>
              <w:left w:val="nil"/>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32</w:t>
            </w:r>
          </w:p>
        </w:tc>
        <w:tc>
          <w:tcPr>
            <w:tcW w:w="2316" w:type="dxa"/>
            <w:tcBorders>
              <w:top w:val="nil"/>
              <w:left w:val="nil"/>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31</w:t>
            </w:r>
          </w:p>
        </w:tc>
        <w:tc>
          <w:tcPr>
            <w:tcW w:w="1283" w:type="dxa"/>
            <w:tcBorders>
              <w:top w:val="nil"/>
              <w:left w:val="nil"/>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1</w:t>
            </w:r>
          </w:p>
        </w:tc>
        <w:tc>
          <w:tcPr>
            <w:tcW w:w="1662" w:type="dxa"/>
            <w:tcBorders>
              <w:top w:val="nil"/>
              <w:left w:val="nil"/>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3.13</w:t>
            </w:r>
          </w:p>
        </w:tc>
      </w:tr>
      <w:tr w:rsidR="00F2352C" w:rsidRPr="00343034" w:rsidTr="00855ECF">
        <w:trPr>
          <w:trHeight w:val="420"/>
        </w:trPr>
        <w:tc>
          <w:tcPr>
            <w:tcW w:w="2335" w:type="dxa"/>
            <w:tcBorders>
              <w:top w:val="nil"/>
              <w:left w:val="single" w:sz="4" w:space="0" w:color="auto"/>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MA 2</w:t>
            </w:r>
            <w:r w:rsidRPr="00343034">
              <w:rPr>
                <w:rFonts w:ascii="Times New Roman" w:eastAsia="Times New Roman" w:hAnsi="Times New Roman"/>
                <w:sz w:val="24"/>
                <w:szCs w:val="24"/>
                <w:vertAlign w:val="superscript"/>
              </w:rPr>
              <w:t>nd</w:t>
            </w:r>
            <w:r w:rsidR="00855ECF" w:rsidRPr="00343034">
              <w:rPr>
                <w:rFonts w:ascii="Times New Roman" w:eastAsia="Times New Roman" w:hAnsi="Times New Roman"/>
                <w:sz w:val="24"/>
                <w:szCs w:val="24"/>
              </w:rPr>
              <w:t xml:space="preserve"> </w:t>
            </w:r>
            <w:r w:rsidR="00BE3491" w:rsidRPr="00343034">
              <w:rPr>
                <w:rFonts w:ascii="Times New Roman" w:eastAsia="Times New Roman" w:hAnsi="Times New Roman"/>
                <w:sz w:val="24"/>
                <w:szCs w:val="24"/>
              </w:rPr>
              <w:t>Semester</w:t>
            </w:r>
          </w:p>
        </w:tc>
        <w:tc>
          <w:tcPr>
            <w:tcW w:w="1505" w:type="dxa"/>
            <w:tcBorders>
              <w:top w:val="nil"/>
              <w:left w:val="nil"/>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39</w:t>
            </w:r>
          </w:p>
        </w:tc>
        <w:tc>
          <w:tcPr>
            <w:tcW w:w="2316" w:type="dxa"/>
            <w:tcBorders>
              <w:top w:val="nil"/>
              <w:left w:val="nil"/>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38</w:t>
            </w:r>
          </w:p>
        </w:tc>
        <w:tc>
          <w:tcPr>
            <w:tcW w:w="1283" w:type="dxa"/>
            <w:tcBorders>
              <w:top w:val="nil"/>
              <w:left w:val="nil"/>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1</w:t>
            </w:r>
          </w:p>
        </w:tc>
        <w:tc>
          <w:tcPr>
            <w:tcW w:w="1662" w:type="dxa"/>
            <w:tcBorders>
              <w:top w:val="nil"/>
              <w:left w:val="nil"/>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2.56</w:t>
            </w:r>
          </w:p>
        </w:tc>
      </w:tr>
      <w:tr w:rsidR="00F2352C" w:rsidRPr="00343034" w:rsidTr="00855ECF">
        <w:trPr>
          <w:trHeight w:val="420"/>
        </w:trPr>
        <w:tc>
          <w:tcPr>
            <w:tcW w:w="2335" w:type="dxa"/>
            <w:tcBorders>
              <w:top w:val="nil"/>
              <w:left w:val="single" w:sz="4" w:space="0" w:color="auto"/>
              <w:bottom w:val="single" w:sz="4" w:space="0" w:color="auto"/>
              <w:right w:val="single" w:sz="4" w:space="0" w:color="auto"/>
            </w:tcBorders>
            <w:shd w:val="clear" w:color="auto" w:fill="auto"/>
            <w:noWrap/>
            <w:vAlign w:val="center"/>
            <w:hideMark/>
          </w:tcPr>
          <w:p w:rsidR="00F2352C" w:rsidRPr="00343034" w:rsidRDefault="00C932A5" w:rsidP="00343034">
            <w:pPr>
              <w:spacing w:after="0"/>
              <w:rPr>
                <w:rFonts w:ascii="Times New Roman" w:eastAsia="Times New Roman" w:hAnsi="Times New Roman"/>
                <w:sz w:val="24"/>
                <w:szCs w:val="24"/>
              </w:rPr>
            </w:pPr>
            <w:r w:rsidRPr="00343034">
              <w:rPr>
                <w:rFonts w:ascii="Times New Roman" w:eastAsia="Times New Roman" w:hAnsi="Times New Roman"/>
                <w:sz w:val="24"/>
                <w:szCs w:val="24"/>
              </w:rPr>
              <w:t>M.Ed. 1</w:t>
            </w:r>
            <w:r w:rsidR="00855ECF" w:rsidRPr="00343034">
              <w:rPr>
                <w:rFonts w:ascii="Times New Roman" w:eastAsia="Times New Roman" w:hAnsi="Times New Roman"/>
                <w:sz w:val="24"/>
                <w:szCs w:val="24"/>
                <w:vertAlign w:val="superscript"/>
              </w:rPr>
              <w:t>st</w:t>
            </w:r>
            <w:r w:rsidR="00855ECF" w:rsidRPr="00343034">
              <w:rPr>
                <w:rFonts w:ascii="Times New Roman" w:eastAsia="Times New Roman" w:hAnsi="Times New Roman"/>
                <w:sz w:val="24"/>
                <w:szCs w:val="24"/>
              </w:rPr>
              <w:t xml:space="preserve"> </w:t>
            </w:r>
            <w:r w:rsidR="00BE3491" w:rsidRPr="00343034">
              <w:rPr>
                <w:rFonts w:ascii="Times New Roman" w:eastAsia="Times New Roman" w:hAnsi="Times New Roman"/>
                <w:sz w:val="24"/>
                <w:szCs w:val="24"/>
              </w:rPr>
              <w:t>Semester</w:t>
            </w:r>
          </w:p>
        </w:tc>
        <w:tc>
          <w:tcPr>
            <w:tcW w:w="1505" w:type="dxa"/>
            <w:tcBorders>
              <w:top w:val="nil"/>
              <w:left w:val="nil"/>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9</w:t>
            </w:r>
          </w:p>
        </w:tc>
        <w:tc>
          <w:tcPr>
            <w:tcW w:w="2316" w:type="dxa"/>
            <w:tcBorders>
              <w:top w:val="nil"/>
              <w:left w:val="nil"/>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8</w:t>
            </w:r>
          </w:p>
        </w:tc>
        <w:tc>
          <w:tcPr>
            <w:tcW w:w="1283" w:type="dxa"/>
            <w:tcBorders>
              <w:top w:val="nil"/>
              <w:left w:val="nil"/>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1</w:t>
            </w:r>
          </w:p>
        </w:tc>
        <w:tc>
          <w:tcPr>
            <w:tcW w:w="1662" w:type="dxa"/>
            <w:tcBorders>
              <w:top w:val="nil"/>
              <w:left w:val="nil"/>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11.11</w:t>
            </w:r>
          </w:p>
        </w:tc>
      </w:tr>
      <w:tr w:rsidR="00F2352C" w:rsidRPr="00343034" w:rsidTr="00855ECF">
        <w:trPr>
          <w:trHeight w:val="405"/>
        </w:trPr>
        <w:tc>
          <w:tcPr>
            <w:tcW w:w="2335" w:type="dxa"/>
            <w:tcBorders>
              <w:top w:val="nil"/>
              <w:left w:val="single" w:sz="4" w:space="0" w:color="auto"/>
              <w:bottom w:val="single" w:sz="4" w:space="0" w:color="auto"/>
              <w:right w:val="single" w:sz="4" w:space="0" w:color="auto"/>
            </w:tcBorders>
            <w:shd w:val="clear" w:color="auto" w:fill="auto"/>
            <w:noWrap/>
            <w:vAlign w:val="center"/>
            <w:hideMark/>
          </w:tcPr>
          <w:p w:rsidR="00F2352C" w:rsidRPr="00343034" w:rsidRDefault="00F2352C" w:rsidP="00343034">
            <w:pPr>
              <w:spacing w:after="0"/>
              <w:rPr>
                <w:rFonts w:ascii="Times New Roman" w:eastAsia="Times New Roman" w:hAnsi="Times New Roman"/>
                <w:b/>
                <w:bCs/>
                <w:sz w:val="24"/>
                <w:szCs w:val="24"/>
              </w:rPr>
            </w:pPr>
            <w:r w:rsidRPr="00343034">
              <w:rPr>
                <w:rFonts w:ascii="Times New Roman" w:eastAsia="Times New Roman" w:hAnsi="Times New Roman"/>
                <w:b/>
                <w:bCs/>
                <w:sz w:val="24"/>
                <w:szCs w:val="24"/>
              </w:rPr>
              <w:t>Total</w:t>
            </w:r>
          </w:p>
        </w:tc>
        <w:tc>
          <w:tcPr>
            <w:tcW w:w="1505" w:type="dxa"/>
            <w:tcBorders>
              <w:top w:val="nil"/>
              <w:left w:val="nil"/>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b/>
                <w:bCs/>
                <w:sz w:val="24"/>
                <w:szCs w:val="24"/>
              </w:rPr>
            </w:pPr>
            <w:r w:rsidRPr="00343034">
              <w:rPr>
                <w:rFonts w:ascii="Times New Roman" w:eastAsia="Times New Roman" w:hAnsi="Times New Roman"/>
                <w:b/>
                <w:bCs/>
                <w:sz w:val="24"/>
                <w:szCs w:val="24"/>
              </w:rPr>
              <w:t>1484</w:t>
            </w:r>
          </w:p>
        </w:tc>
        <w:tc>
          <w:tcPr>
            <w:tcW w:w="2316" w:type="dxa"/>
            <w:tcBorders>
              <w:top w:val="nil"/>
              <w:left w:val="nil"/>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b/>
                <w:bCs/>
                <w:sz w:val="24"/>
                <w:szCs w:val="24"/>
              </w:rPr>
            </w:pPr>
            <w:r w:rsidRPr="00343034">
              <w:rPr>
                <w:rFonts w:ascii="Times New Roman" w:eastAsia="Times New Roman" w:hAnsi="Times New Roman"/>
                <w:b/>
                <w:bCs/>
                <w:sz w:val="24"/>
                <w:szCs w:val="24"/>
              </w:rPr>
              <w:t>1245</w:t>
            </w:r>
          </w:p>
        </w:tc>
        <w:tc>
          <w:tcPr>
            <w:tcW w:w="1283" w:type="dxa"/>
            <w:tcBorders>
              <w:top w:val="nil"/>
              <w:left w:val="nil"/>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b/>
                <w:bCs/>
                <w:sz w:val="24"/>
                <w:szCs w:val="24"/>
              </w:rPr>
            </w:pPr>
            <w:r w:rsidRPr="00343034">
              <w:rPr>
                <w:rFonts w:ascii="Times New Roman" w:eastAsia="Times New Roman" w:hAnsi="Times New Roman"/>
                <w:b/>
                <w:bCs/>
                <w:sz w:val="24"/>
                <w:szCs w:val="24"/>
              </w:rPr>
              <w:t>319</w:t>
            </w:r>
          </w:p>
        </w:tc>
        <w:tc>
          <w:tcPr>
            <w:tcW w:w="1662" w:type="dxa"/>
            <w:tcBorders>
              <w:top w:val="nil"/>
              <w:left w:val="nil"/>
              <w:bottom w:val="single" w:sz="4" w:space="0" w:color="auto"/>
              <w:right w:val="single" w:sz="4" w:space="0" w:color="auto"/>
            </w:tcBorders>
            <w:shd w:val="clear" w:color="auto" w:fill="auto"/>
            <w:noWrap/>
            <w:vAlign w:val="center"/>
            <w:hideMark/>
          </w:tcPr>
          <w:p w:rsidR="00F2352C" w:rsidRPr="00343034" w:rsidRDefault="00F2352C" w:rsidP="00343034">
            <w:pPr>
              <w:spacing w:after="0"/>
              <w:jc w:val="center"/>
              <w:rPr>
                <w:rFonts w:ascii="Times New Roman" w:eastAsia="Times New Roman" w:hAnsi="Times New Roman"/>
                <w:b/>
                <w:bCs/>
                <w:sz w:val="24"/>
                <w:szCs w:val="24"/>
              </w:rPr>
            </w:pPr>
            <w:r w:rsidRPr="00343034">
              <w:rPr>
                <w:rFonts w:ascii="Times New Roman" w:eastAsia="Times New Roman" w:hAnsi="Times New Roman"/>
                <w:b/>
                <w:bCs/>
                <w:sz w:val="24"/>
                <w:szCs w:val="24"/>
              </w:rPr>
              <w:t>21.50</w:t>
            </w:r>
          </w:p>
        </w:tc>
      </w:tr>
    </w:tbl>
    <w:p w:rsidR="00241448" w:rsidRPr="00343034" w:rsidRDefault="00241448" w:rsidP="00343034">
      <w:pPr>
        <w:pStyle w:val="NormalWeb"/>
        <w:spacing w:before="0" w:beforeAutospacing="0" w:after="0" w:afterAutospacing="0" w:line="276" w:lineRule="auto"/>
        <w:jc w:val="both"/>
      </w:pPr>
      <w:r w:rsidRPr="00343034">
        <w:t>Source: EMIS; 2023</w:t>
      </w:r>
    </w:p>
    <w:p w:rsidR="00F2352C" w:rsidRPr="00343034" w:rsidRDefault="008379B6" w:rsidP="00343034">
      <w:pPr>
        <w:pStyle w:val="NormalWeb"/>
        <w:spacing w:before="0" w:beforeAutospacing="0" w:after="0" w:afterAutospacing="0" w:line="276" w:lineRule="auto"/>
        <w:jc w:val="both"/>
      </w:pPr>
      <w:r w:rsidRPr="00343034">
        <w:t>Studyin</w:t>
      </w:r>
      <w:r w:rsidR="0057355C" w:rsidRPr="00343034">
        <w:t>g the data on students who drop</w:t>
      </w:r>
      <w:r w:rsidRPr="00343034">
        <w:t>out from Baneshwor Multiple Campus gives us</w:t>
      </w:r>
      <w:r w:rsidR="0057355C" w:rsidRPr="00343034">
        <w:t xml:space="preserve"> important information about how many</w:t>
      </w:r>
      <w:r w:rsidRPr="00343034">
        <w:t xml:space="preserve"> students leave the institution. By identifying trends and patterns, we can better understand how to help students stay and succeed. </w:t>
      </w:r>
      <w:r w:rsidR="0057355C" w:rsidRPr="00343034">
        <w:t>Table data shows the highest dropout rate on bachelor level and low dropout rate on the master’s level of each and every faculty.</w:t>
      </w:r>
    </w:p>
    <w:p w:rsidR="00343B56" w:rsidRPr="00343034" w:rsidRDefault="00343B56" w:rsidP="00343034">
      <w:pPr>
        <w:spacing w:after="0"/>
        <w:jc w:val="both"/>
        <w:rPr>
          <w:rFonts w:ascii="Times New Roman" w:hAnsi="Times New Roman"/>
          <w:b/>
          <w:sz w:val="24"/>
          <w:szCs w:val="24"/>
        </w:rPr>
      </w:pPr>
    </w:p>
    <w:p w:rsidR="000A229C" w:rsidRPr="00343034" w:rsidRDefault="000A229C" w:rsidP="00343034">
      <w:pPr>
        <w:spacing w:after="0"/>
        <w:jc w:val="both"/>
        <w:rPr>
          <w:rFonts w:ascii="Times New Roman" w:hAnsi="Times New Roman"/>
          <w:b/>
          <w:sz w:val="24"/>
          <w:szCs w:val="24"/>
        </w:rPr>
      </w:pPr>
      <w:r w:rsidRPr="00343034">
        <w:rPr>
          <w:rFonts w:ascii="Times New Roman" w:hAnsi="Times New Roman"/>
          <w:b/>
          <w:sz w:val="24"/>
          <w:szCs w:val="24"/>
        </w:rPr>
        <w:t>Class wise Student Enrollment, Exam Appearance and Dropou</w:t>
      </w:r>
      <w:r w:rsidR="0057355C" w:rsidRPr="00343034">
        <w:rPr>
          <w:rFonts w:ascii="Times New Roman" w:hAnsi="Times New Roman"/>
          <w:b/>
          <w:sz w:val="24"/>
          <w:szCs w:val="24"/>
        </w:rPr>
        <w:t>t Rate at academic year, 2021</w:t>
      </w:r>
    </w:p>
    <w:p w:rsidR="008A39C5" w:rsidRPr="00343034" w:rsidRDefault="00084291" w:rsidP="00343034">
      <w:pPr>
        <w:pStyle w:val="NormalWeb"/>
        <w:spacing w:before="0" w:beforeAutospacing="0" w:after="0" w:afterAutospacing="0" w:line="276" w:lineRule="auto"/>
        <w:jc w:val="both"/>
      </w:pPr>
      <w:r w:rsidRPr="00343034">
        <w:t xml:space="preserve">The analysis of student drop-out data, for the academic year </w:t>
      </w:r>
      <w:r w:rsidR="0057355C" w:rsidRPr="00343034">
        <w:t>2021</w:t>
      </w:r>
      <w:r w:rsidRPr="00343034">
        <w:t xml:space="preserve"> at Baneshwor Multiple Campus, presents very useful information relating to student retention across various levels of learning. The study shows a total enrolment of 1891 students with 1499 students appearing in examinations. This means that the overall dropout rate for the academic year was 20.73 percent, which suggests a significant but not insurmountable issue of keeping students engaged throughout their academic paths. At undergraduate</w:t>
      </w:r>
      <w:r w:rsidR="0057355C" w:rsidRPr="00343034">
        <w:t xml:space="preserve"> (bachelor) level, BBS 4</w:t>
      </w:r>
      <w:r w:rsidR="0057355C" w:rsidRPr="00343034">
        <w:rPr>
          <w:vertAlign w:val="superscript"/>
        </w:rPr>
        <w:t>th</w:t>
      </w:r>
      <w:r w:rsidR="0057355C" w:rsidRPr="00343034">
        <w:t xml:space="preserve"> and BBS </w:t>
      </w:r>
      <w:r w:rsidRPr="00343034">
        <w:t>2</w:t>
      </w:r>
      <w:r w:rsidRPr="00343034">
        <w:rPr>
          <w:vertAlign w:val="superscript"/>
        </w:rPr>
        <w:t>nd</w:t>
      </w:r>
      <w:r w:rsidR="0057355C" w:rsidRPr="00343034">
        <w:t xml:space="preserve"> year</w:t>
      </w:r>
      <w:r w:rsidRPr="00343034">
        <w:t xml:space="preserve"> have </w:t>
      </w:r>
      <w:r w:rsidR="00E11053" w:rsidRPr="00343034">
        <w:t>a relatively high dropout rate</w:t>
      </w:r>
      <w:r w:rsidR="0057355C" w:rsidRPr="00343034">
        <w:t xml:space="preserve"> of 36.61</w:t>
      </w:r>
      <w:r w:rsidRPr="00343034">
        <w:t xml:space="preserve"> percent and 30.89 percent respectively on these stages of their</w:t>
      </w:r>
      <w:r w:rsidR="0057355C" w:rsidRPr="00343034">
        <w:t xml:space="preserve"> studies. On the other hand, BA </w:t>
      </w:r>
      <w:r w:rsidRPr="00343034">
        <w:t>3</w:t>
      </w:r>
      <w:r w:rsidRPr="00343034">
        <w:rPr>
          <w:vertAlign w:val="superscript"/>
        </w:rPr>
        <w:t>rd</w:t>
      </w:r>
      <w:r w:rsidR="0057355C" w:rsidRPr="00343034">
        <w:t xml:space="preserve"> </w:t>
      </w:r>
      <w:r w:rsidRPr="00343034">
        <w:t>and B</w:t>
      </w:r>
      <w:r w:rsidR="0057355C" w:rsidRPr="00343034">
        <w:t>.Ed. 2</w:t>
      </w:r>
      <w:r w:rsidR="0057355C" w:rsidRPr="00343034">
        <w:rPr>
          <w:vertAlign w:val="superscript"/>
        </w:rPr>
        <w:t>nd</w:t>
      </w:r>
      <w:r w:rsidR="0057355C" w:rsidRPr="00343034">
        <w:t xml:space="preserve"> year</w:t>
      </w:r>
      <w:r w:rsidRPr="00343034">
        <w:t xml:space="preserve"> display low d</w:t>
      </w:r>
      <w:r w:rsidR="00F32328" w:rsidRPr="00343034">
        <w:t xml:space="preserve">ropout rates at 1.74 </w:t>
      </w:r>
      <w:r w:rsidR="0042675C" w:rsidRPr="00343034">
        <w:t>per</w:t>
      </w:r>
      <w:r w:rsidR="00F32328" w:rsidRPr="00343034">
        <w:t>cent</w:t>
      </w:r>
      <w:r w:rsidR="0057355C" w:rsidRPr="00343034">
        <w:t xml:space="preserve"> and 19.78</w:t>
      </w:r>
      <w:r w:rsidR="00F32328" w:rsidRPr="00343034">
        <w:t xml:space="preserve"> percent</w:t>
      </w:r>
      <w:r w:rsidRPr="00343034">
        <w:t xml:space="preserve"> respectively hence suggesting that there is higher retention among stu</w:t>
      </w:r>
      <w:r w:rsidR="0057355C" w:rsidRPr="00343034">
        <w:t>dents during these two years</w:t>
      </w:r>
      <w:r w:rsidR="0087474C" w:rsidRPr="00343034">
        <w:t xml:space="preserve">. </w:t>
      </w:r>
      <w:r w:rsidR="0057355C" w:rsidRPr="00343034">
        <w:t xml:space="preserve">Intriguingly, BBS </w:t>
      </w:r>
      <w:r w:rsidRPr="00343034">
        <w:t>4</w:t>
      </w:r>
      <w:r w:rsidRPr="00343034">
        <w:rPr>
          <w:vertAlign w:val="superscript"/>
        </w:rPr>
        <w:t>th</w:t>
      </w:r>
      <w:r w:rsidR="0057355C" w:rsidRPr="00343034">
        <w:t xml:space="preserve"> year</w:t>
      </w:r>
      <w:r w:rsidRPr="00343034">
        <w:t xml:space="preserve"> re</w:t>
      </w:r>
      <w:r w:rsidR="0087474C" w:rsidRPr="00343034">
        <w:t>cords a significantly high drop</w:t>
      </w:r>
      <w:r w:rsidR="00F32328" w:rsidRPr="00343034">
        <w:t>out rate at 36.61 per cent</w:t>
      </w:r>
      <w:r w:rsidRPr="00343034">
        <w:t xml:space="preserve"> indicating some challenges encountered by learners at this stage of the course as opposed to others within it. It is worth noting that no student enrolled and</w:t>
      </w:r>
      <w:r w:rsidR="0057355C" w:rsidRPr="00343034">
        <w:t xml:space="preserve"> appeared in examination for BA </w:t>
      </w:r>
      <w:r w:rsidRPr="00343034">
        <w:t>4</w:t>
      </w:r>
      <w:r w:rsidRPr="00343034">
        <w:rPr>
          <w:vertAlign w:val="superscript"/>
        </w:rPr>
        <w:t>th</w:t>
      </w:r>
      <w:r w:rsidR="0057355C" w:rsidRPr="00343034">
        <w:t xml:space="preserve"> year because there was no provision </w:t>
      </w:r>
      <w:r w:rsidR="00940521" w:rsidRPr="00343034">
        <w:t>of BA 4</w:t>
      </w:r>
      <w:r w:rsidR="00940521" w:rsidRPr="00343034">
        <w:rPr>
          <w:vertAlign w:val="superscript"/>
        </w:rPr>
        <w:t>th</w:t>
      </w:r>
      <w:r w:rsidR="00940521" w:rsidRPr="00343034">
        <w:t xml:space="preserve"> year program of this academic year due to the </w:t>
      </w:r>
      <w:r w:rsidR="00ED3C71" w:rsidRPr="00343034">
        <w:t xml:space="preserve">university system of that time. </w:t>
      </w:r>
      <w:r w:rsidRPr="00343034">
        <w:t>For instance in the B.Ed</w:t>
      </w:r>
      <w:r w:rsidR="0087474C" w:rsidRPr="00343034">
        <w:t xml:space="preserve">. </w:t>
      </w:r>
      <w:r w:rsidRPr="00343034">
        <w:t>program, the negative dropo</w:t>
      </w:r>
      <w:r w:rsidR="00F32328" w:rsidRPr="00343034">
        <w:t>ut rates from its third (-29.41%) and fourth (-20 %</w:t>
      </w:r>
      <w:r w:rsidRPr="00343034">
        <w:t xml:space="preserve">) levels are an indication that there may be </w:t>
      </w:r>
      <w:r w:rsidR="0087474C" w:rsidRPr="00343034">
        <w:t>higher number of transfer student from other campus to Baneshwor Multiple Campus</w:t>
      </w:r>
      <w:r w:rsidRPr="00343034">
        <w:t>.</w:t>
      </w:r>
      <w:r w:rsidR="0087474C" w:rsidRPr="00343034">
        <w:t xml:space="preserve"> </w:t>
      </w:r>
      <w:r w:rsidR="00ED3C71" w:rsidRPr="00343034">
        <w:t xml:space="preserve">There is room to doubt this fact. </w:t>
      </w:r>
      <w:r w:rsidR="00CF59E7" w:rsidRPr="00343034">
        <w:t>The dropout rate for m</w:t>
      </w:r>
      <w:r w:rsidR="008A39C5" w:rsidRPr="00343034">
        <w:t xml:space="preserve">asters </w:t>
      </w:r>
      <w:r w:rsidR="00CF59E7" w:rsidRPr="00343034">
        <w:t>programs</w:t>
      </w:r>
      <w:r w:rsidR="008A39C5" w:rsidRPr="00343034">
        <w:t xml:space="preserve"> like MBS II </w:t>
      </w:r>
      <w:r w:rsidR="00CF59E7" w:rsidRPr="00343034">
        <w:t>s</w:t>
      </w:r>
      <w:r w:rsidR="00BE3491" w:rsidRPr="00343034">
        <w:t>emester</w:t>
      </w:r>
      <w:r w:rsidR="008A39C5" w:rsidRPr="00343034">
        <w:t xml:space="preserve">, MA II </w:t>
      </w:r>
      <w:r w:rsidR="00CF59E7" w:rsidRPr="00343034">
        <w:t>s</w:t>
      </w:r>
      <w:r w:rsidR="00BE3491" w:rsidRPr="00343034">
        <w:t>emester</w:t>
      </w:r>
      <w:r w:rsidR="008A39C5" w:rsidRPr="00343034">
        <w:t xml:space="preserve">, MA III </w:t>
      </w:r>
      <w:r w:rsidR="00CF59E7" w:rsidRPr="00343034">
        <w:t>s</w:t>
      </w:r>
      <w:r w:rsidR="00BE3491" w:rsidRPr="00343034">
        <w:t>emester</w:t>
      </w:r>
      <w:r w:rsidR="008A39C5" w:rsidRPr="00343034">
        <w:t xml:space="preserve">, and M.Ed. II </w:t>
      </w:r>
      <w:r w:rsidR="00CF59E7" w:rsidRPr="00343034">
        <w:t>s</w:t>
      </w:r>
      <w:r w:rsidR="00BE3491" w:rsidRPr="00343034">
        <w:t>emester</w:t>
      </w:r>
      <w:r w:rsidR="0093445A" w:rsidRPr="00343034">
        <w:t xml:space="preserve"> is low. There is a dropout for MA</w:t>
      </w:r>
      <w:r w:rsidR="008A39C5" w:rsidRPr="00343034">
        <w:t xml:space="preserve"> 1 </w:t>
      </w:r>
      <w:r w:rsidR="0093445A" w:rsidRPr="00343034">
        <w:t>and MBS</w:t>
      </w:r>
      <w:r w:rsidR="008A39C5" w:rsidRPr="00343034">
        <w:t xml:space="preserve"> I </w:t>
      </w:r>
      <w:r w:rsidR="00CF59E7" w:rsidRPr="00343034">
        <w:t>s</w:t>
      </w:r>
      <w:r w:rsidR="00BE3491" w:rsidRPr="00343034">
        <w:t>emester</w:t>
      </w:r>
      <w:r w:rsidR="008A39C5" w:rsidRPr="00343034">
        <w:t xml:space="preserve">, with rates </w:t>
      </w:r>
      <w:r w:rsidR="0093445A" w:rsidRPr="00343034">
        <w:t>was 11.43</w:t>
      </w:r>
      <w:r w:rsidR="00976FBF" w:rsidRPr="00343034">
        <w:t xml:space="preserve"> per</w:t>
      </w:r>
      <w:r w:rsidR="00F32328" w:rsidRPr="00343034">
        <w:t xml:space="preserve">cent </w:t>
      </w:r>
      <w:r w:rsidR="0093445A" w:rsidRPr="00343034">
        <w:t xml:space="preserve">and 12.90 percent respectively. </w:t>
      </w:r>
    </w:p>
    <w:p w:rsidR="00F94158" w:rsidRPr="00343034" w:rsidRDefault="008A39C5" w:rsidP="00343034">
      <w:pPr>
        <w:pStyle w:val="NormalWeb"/>
        <w:spacing w:before="0" w:beforeAutospacing="0" w:after="0" w:afterAutospacing="0" w:line="276" w:lineRule="auto"/>
        <w:jc w:val="both"/>
      </w:pPr>
      <w:r w:rsidRPr="00343034">
        <w:t xml:space="preserve">Based on the overall review, it is evident that </w:t>
      </w:r>
      <w:r w:rsidR="00D61F68" w:rsidRPr="00343034">
        <w:t xml:space="preserve">effective dropout reduction </w:t>
      </w:r>
      <w:r w:rsidRPr="00343034">
        <w:t>plans are necessary, particularly at the undergraduate level, in order to enhance student retention and address any issues that m</w:t>
      </w:r>
      <w:r w:rsidR="00D61F68" w:rsidRPr="00343034">
        <w:t xml:space="preserve">ay result in student’s dropout. </w:t>
      </w:r>
      <w:r w:rsidR="00F94158" w:rsidRPr="00343034">
        <w:t>Tailoring strategies to specific academic levels and programs will enable Baneshwor Multiple Campus to fo</w:t>
      </w:r>
      <w:r w:rsidR="00153689" w:rsidRPr="00343034">
        <w:t>ster a supportive educational</w:t>
      </w:r>
      <w:r w:rsidR="00F94158" w:rsidRPr="00343034">
        <w:t xml:space="preserve"> environment and further improve</w:t>
      </w:r>
      <w:r w:rsidR="00153689" w:rsidRPr="00343034">
        <w:t>ment of</w:t>
      </w:r>
      <w:r w:rsidR="00F94158" w:rsidRPr="00343034">
        <w:t xml:space="preserve"> overall student success.</w:t>
      </w:r>
    </w:p>
    <w:tbl>
      <w:tblPr>
        <w:tblW w:w="5000" w:type="pct"/>
        <w:tblLook w:val="04A0" w:firstRow="1" w:lastRow="0" w:firstColumn="1" w:lastColumn="0" w:noHBand="0" w:noVBand="1"/>
      </w:tblPr>
      <w:tblGrid>
        <w:gridCol w:w="2274"/>
        <w:gridCol w:w="1306"/>
        <w:gridCol w:w="2413"/>
        <w:gridCol w:w="1311"/>
        <w:gridCol w:w="1715"/>
      </w:tblGrid>
      <w:tr w:rsidR="00BF309F" w:rsidRPr="00343034" w:rsidTr="007264DD">
        <w:trPr>
          <w:trHeight w:val="405"/>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264DD" w:rsidRPr="00343034" w:rsidRDefault="007264DD" w:rsidP="00343034">
            <w:pPr>
              <w:spacing w:after="0"/>
              <w:jc w:val="center"/>
              <w:rPr>
                <w:rFonts w:ascii="Times New Roman" w:eastAsia="Times New Roman" w:hAnsi="Times New Roman"/>
                <w:b/>
                <w:sz w:val="24"/>
                <w:szCs w:val="24"/>
              </w:rPr>
            </w:pPr>
            <w:r w:rsidRPr="00343034">
              <w:rPr>
                <w:rFonts w:ascii="Times New Roman" w:eastAsia="Times New Roman" w:hAnsi="Times New Roman"/>
                <w:b/>
                <w:sz w:val="24"/>
                <w:szCs w:val="24"/>
              </w:rPr>
              <w:t>Table 2:</w:t>
            </w:r>
          </w:p>
          <w:p w:rsidR="00BF309F" w:rsidRPr="00343034" w:rsidRDefault="00BF309F" w:rsidP="00343034">
            <w:pPr>
              <w:spacing w:after="0"/>
              <w:jc w:val="center"/>
              <w:rPr>
                <w:rFonts w:ascii="Times New Roman" w:eastAsia="Times New Roman" w:hAnsi="Times New Roman"/>
                <w:b/>
                <w:bCs/>
                <w:sz w:val="24"/>
                <w:szCs w:val="24"/>
              </w:rPr>
            </w:pPr>
            <w:r w:rsidRPr="00343034">
              <w:rPr>
                <w:rFonts w:ascii="Times New Roman" w:eastAsia="Times New Roman" w:hAnsi="Times New Roman"/>
                <w:b/>
                <w:sz w:val="24"/>
                <w:szCs w:val="24"/>
              </w:rPr>
              <w:t>Students Enrollment and Dropout Status of Campus,</w:t>
            </w:r>
            <w:r w:rsidR="002F452B" w:rsidRPr="00343034">
              <w:rPr>
                <w:rFonts w:ascii="Times New Roman" w:eastAsia="Times New Roman" w:hAnsi="Times New Roman"/>
                <w:b/>
                <w:bCs/>
                <w:sz w:val="24"/>
                <w:szCs w:val="24"/>
              </w:rPr>
              <w:t xml:space="preserve"> 2021</w:t>
            </w:r>
          </w:p>
        </w:tc>
      </w:tr>
      <w:tr w:rsidR="00BF309F" w:rsidRPr="00343034" w:rsidTr="00196DDC">
        <w:trPr>
          <w:trHeight w:val="405"/>
        </w:trPr>
        <w:tc>
          <w:tcPr>
            <w:tcW w:w="1260" w:type="pct"/>
            <w:tcBorders>
              <w:top w:val="nil"/>
              <w:left w:val="single" w:sz="4" w:space="0" w:color="auto"/>
              <w:bottom w:val="single" w:sz="4" w:space="0" w:color="auto"/>
              <w:right w:val="single" w:sz="4" w:space="0" w:color="auto"/>
            </w:tcBorders>
            <w:shd w:val="clear" w:color="auto" w:fill="auto"/>
            <w:noWrap/>
            <w:vAlign w:val="center"/>
            <w:hideMark/>
          </w:tcPr>
          <w:p w:rsidR="00BF309F" w:rsidRPr="00343034" w:rsidRDefault="00BF309F" w:rsidP="00343034">
            <w:pPr>
              <w:spacing w:after="0"/>
              <w:rPr>
                <w:rFonts w:ascii="Times New Roman" w:eastAsia="Times New Roman" w:hAnsi="Times New Roman"/>
                <w:sz w:val="24"/>
                <w:szCs w:val="24"/>
              </w:rPr>
            </w:pPr>
            <w:r w:rsidRPr="00343034">
              <w:rPr>
                <w:rFonts w:ascii="Times New Roman" w:eastAsia="Times New Roman" w:hAnsi="Times New Roman"/>
                <w:sz w:val="24"/>
                <w:szCs w:val="24"/>
              </w:rPr>
              <w:t>Level</w:t>
            </w:r>
          </w:p>
        </w:tc>
        <w:tc>
          <w:tcPr>
            <w:tcW w:w="724" w:type="pct"/>
            <w:tcBorders>
              <w:top w:val="nil"/>
              <w:left w:val="nil"/>
              <w:bottom w:val="single" w:sz="4" w:space="0" w:color="auto"/>
              <w:right w:val="single" w:sz="4" w:space="0" w:color="auto"/>
            </w:tcBorders>
            <w:shd w:val="clear" w:color="auto" w:fill="auto"/>
            <w:noWrap/>
            <w:vAlign w:val="center"/>
            <w:hideMark/>
          </w:tcPr>
          <w:p w:rsidR="00BF309F" w:rsidRPr="00343034" w:rsidRDefault="00BF309F"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Enroll</w:t>
            </w:r>
            <w:r w:rsidR="002F452B" w:rsidRPr="00343034">
              <w:rPr>
                <w:rFonts w:ascii="Times New Roman" w:eastAsia="Times New Roman" w:hAnsi="Times New Roman"/>
                <w:sz w:val="24"/>
                <w:szCs w:val="24"/>
              </w:rPr>
              <w:t>ment</w:t>
            </w:r>
          </w:p>
        </w:tc>
        <w:tc>
          <w:tcPr>
            <w:tcW w:w="1338" w:type="pct"/>
            <w:tcBorders>
              <w:top w:val="nil"/>
              <w:left w:val="nil"/>
              <w:bottom w:val="single" w:sz="4" w:space="0" w:color="auto"/>
              <w:right w:val="single" w:sz="4" w:space="0" w:color="auto"/>
            </w:tcBorders>
            <w:shd w:val="clear" w:color="auto" w:fill="auto"/>
            <w:noWrap/>
            <w:vAlign w:val="center"/>
            <w:hideMark/>
          </w:tcPr>
          <w:p w:rsidR="00BF309F" w:rsidRPr="00343034" w:rsidRDefault="00BF309F"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Exam appeared</w:t>
            </w:r>
          </w:p>
        </w:tc>
        <w:tc>
          <w:tcPr>
            <w:tcW w:w="727" w:type="pct"/>
            <w:tcBorders>
              <w:top w:val="nil"/>
              <w:left w:val="nil"/>
              <w:bottom w:val="single" w:sz="4" w:space="0" w:color="auto"/>
              <w:right w:val="single" w:sz="4" w:space="0" w:color="auto"/>
            </w:tcBorders>
            <w:shd w:val="clear" w:color="auto" w:fill="auto"/>
            <w:noWrap/>
            <w:vAlign w:val="center"/>
            <w:hideMark/>
          </w:tcPr>
          <w:p w:rsidR="00BF309F" w:rsidRPr="00343034" w:rsidRDefault="00BF309F"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Dropout</w:t>
            </w:r>
          </w:p>
        </w:tc>
        <w:tc>
          <w:tcPr>
            <w:tcW w:w="951" w:type="pct"/>
            <w:tcBorders>
              <w:top w:val="nil"/>
              <w:left w:val="nil"/>
              <w:bottom w:val="single" w:sz="4" w:space="0" w:color="auto"/>
              <w:right w:val="single" w:sz="4" w:space="0" w:color="auto"/>
            </w:tcBorders>
            <w:shd w:val="clear" w:color="auto" w:fill="auto"/>
            <w:noWrap/>
            <w:vAlign w:val="center"/>
            <w:hideMark/>
          </w:tcPr>
          <w:p w:rsidR="00BF309F" w:rsidRPr="00343034" w:rsidRDefault="00BF309F"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Drop</w:t>
            </w:r>
            <w:r w:rsidR="002F452B" w:rsidRPr="00343034">
              <w:rPr>
                <w:rFonts w:ascii="Times New Roman" w:eastAsia="Times New Roman" w:hAnsi="Times New Roman"/>
                <w:sz w:val="24"/>
                <w:szCs w:val="24"/>
              </w:rPr>
              <w:t>out %</w:t>
            </w:r>
          </w:p>
        </w:tc>
      </w:tr>
      <w:tr w:rsidR="00BF309F" w:rsidRPr="00343034" w:rsidTr="00196DDC">
        <w:trPr>
          <w:trHeight w:val="405"/>
        </w:trPr>
        <w:tc>
          <w:tcPr>
            <w:tcW w:w="1260" w:type="pct"/>
            <w:tcBorders>
              <w:top w:val="nil"/>
              <w:left w:val="single" w:sz="4" w:space="0" w:color="auto"/>
              <w:bottom w:val="single" w:sz="4" w:space="0" w:color="auto"/>
              <w:right w:val="single" w:sz="4" w:space="0" w:color="auto"/>
            </w:tcBorders>
            <w:shd w:val="clear" w:color="auto" w:fill="auto"/>
            <w:noWrap/>
            <w:vAlign w:val="center"/>
            <w:hideMark/>
          </w:tcPr>
          <w:p w:rsidR="00BF309F" w:rsidRPr="00343034" w:rsidRDefault="00BF309F" w:rsidP="00343034">
            <w:pPr>
              <w:spacing w:after="0"/>
              <w:rPr>
                <w:rFonts w:ascii="Times New Roman" w:eastAsia="Times New Roman" w:hAnsi="Times New Roman"/>
                <w:sz w:val="24"/>
                <w:szCs w:val="24"/>
              </w:rPr>
            </w:pPr>
            <w:r w:rsidRPr="00343034">
              <w:rPr>
                <w:rFonts w:ascii="Times New Roman" w:eastAsia="Times New Roman" w:hAnsi="Times New Roman"/>
                <w:sz w:val="24"/>
                <w:szCs w:val="24"/>
              </w:rPr>
              <w:t>BA 1st</w:t>
            </w:r>
          </w:p>
        </w:tc>
        <w:tc>
          <w:tcPr>
            <w:tcW w:w="724" w:type="pct"/>
            <w:tcBorders>
              <w:top w:val="nil"/>
              <w:left w:val="nil"/>
              <w:bottom w:val="single" w:sz="4" w:space="0" w:color="auto"/>
              <w:right w:val="single" w:sz="4" w:space="0" w:color="auto"/>
            </w:tcBorders>
            <w:shd w:val="clear" w:color="auto" w:fill="auto"/>
            <w:noWrap/>
            <w:vAlign w:val="center"/>
            <w:hideMark/>
          </w:tcPr>
          <w:p w:rsidR="00BF309F" w:rsidRPr="00343034" w:rsidRDefault="00BF309F"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287</w:t>
            </w:r>
          </w:p>
        </w:tc>
        <w:tc>
          <w:tcPr>
            <w:tcW w:w="1338" w:type="pct"/>
            <w:tcBorders>
              <w:top w:val="nil"/>
              <w:left w:val="nil"/>
              <w:bottom w:val="single" w:sz="4" w:space="0" w:color="auto"/>
              <w:right w:val="single" w:sz="4" w:space="0" w:color="auto"/>
            </w:tcBorders>
            <w:shd w:val="clear" w:color="auto" w:fill="auto"/>
            <w:noWrap/>
            <w:vAlign w:val="center"/>
            <w:hideMark/>
          </w:tcPr>
          <w:p w:rsidR="00BF309F" w:rsidRPr="00343034" w:rsidRDefault="00BF309F"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218</w:t>
            </w:r>
          </w:p>
        </w:tc>
        <w:tc>
          <w:tcPr>
            <w:tcW w:w="727" w:type="pct"/>
            <w:tcBorders>
              <w:top w:val="nil"/>
              <w:left w:val="nil"/>
              <w:bottom w:val="single" w:sz="4" w:space="0" w:color="auto"/>
              <w:right w:val="single" w:sz="4" w:space="0" w:color="auto"/>
            </w:tcBorders>
            <w:shd w:val="clear" w:color="auto" w:fill="auto"/>
            <w:noWrap/>
            <w:vAlign w:val="center"/>
            <w:hideMark/>
          </w:tcPr>
          <w:p w:rsidR="00BF309F" w:rsidRPr="00343034" w:rsidRDefault="00BF309F"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69</w:t>
            </w:r>
          </w:p>
        </w:tc>
        <w:tc>
          <w:tcPr>
            <w:tcW w:w="951" w:type="pct"/>
            <w:tcBorders>
              <w:top w:val="nil"/>
              <w:left w:val="nil"/>
              <w:bottom w:val="single" w:sz="4" w:space="0" w:color="auto"/>
              <w:right w:val="single" w:sz="4" w:space="0" w:color="auto"/>
            </w:tcBorders>
            <w:shd w:val="clear" w:color="auto" w:fill="auto"/>
            <w:noWrap/>
            <w:vAlign w:val="center"/>
            <w:hideMark/>
          </w:tcPr>
          <w:p w:rsidR="00BF309F" w:rsidRPr="00343034" w:rsidRDefault="00BF309F"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24.04</w:t>
            </w:r>
          </w:p>
        </w:tc>
      </w:tr>
      <w:tr w:rsidR="00BF309F" w:rsidRPr="00343034" w:rsidTr="00196DDC">
        <w:trPr>
          <w:trHeight w:val="405"/>
        </w:trPr>
        <w:tc>
          <w:tcPr>
            <w:tcW w:w="1260" w:type="pct"/>
            <w:tcBorders>
              <w:top w:val="nil"/>
              <w:left w:val="single" w:sz="4" w:space="0" w:color="auto"/>
              <w:bottom w:val="single" w:sz="4" w:space="0" w:color="auto"/>
              <w:right w:val="single" w:sz="4" w:space="0" w:color="auto"/>
            </w:tcBorders>
            <w:shd w:val="clear" w:color="auto" w:fill="auto"/>
            <w:noWrap/>
            <w:vAlign w:val="center"/>
            <w:hideMark/>
          </w:tcPr>
          <w:p w:rsidR="00BF309F" w:rsidRPr="00343034" w:rsidRDefault="00BF309F" w:rsidP="00343034">
            <w:pPr>
              <w:spacing w:after="0"/>
              <w:rPr>
                <w:rFonts w:ascii="Times New Roman" w:eastAsia="Times New Roman" w:hAnsi="Times New Roman"/>
                <w:sz w:val="24"/>
                <w:szCs w:val="24"/>
              </w:rPr>
            </w:pPr>
            <w:r w:rsidRPr="00343034">
              <w:rPr>
                <w:rFonts w:ascii="Times New Roman" w:eastAsia="Times New Roman" w:hAnsi="Times New Roman"/>
                <w:sz w:val="24"/>
                <w:szCs w:val="24"/>
              </w:rPr>
              <w:t>BA 2nd</w:t>
            </w:r>
          </w:p>
        </w:tc>
        <w:tc>
          <w:tcPr>
            <w:tcW w:w="724" w:type="pct"/>
            <w:tcBorders>
              <w:top w:val="nil"/>
              <w:left w:val="nil"/>
              <w:bottom w:val="single" w:sz="4" w:space="0" w:color="auto"/>
              <w:right w:val="single" w:sz="4" w:space="0" w:color="auto"/>
            </w:tcBorders>
            <w:shd w:val="clear" w:color="auto" w:fill="auto"/>
            <w:noWrap/>
            <w:vAlign w:val="center"/>
            <w:hideMark/>
          </w:tcPr>
          <w:p w:rsidR="00BF309F" w:rsidRPr="00343034" w:rsidRDefault="00BF309F"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190</w:t>
            </w:r>
          </w:p>
        </w:tc>
        <w:tc>
          <w:tcPr>
            <w:tcW w:w="1338" w:type="pct"/>
            <w:tcBorders>
              <w:top w:val="nil"/>
              <w:left w:val="nil"/>
              <w:bottom w:val="single" w:sz="4" w:space="0" w:color="auto"/>
              <w:right w:val="single" w:sz="4" w:space="0" w:color="auto"/>
            </w:tcBorders>
            <w:shd w:val="clear" w:color="auto" w:fill="auto"/>
            <w:noWrap/>
            <w:vAlign w:val="center"/>
            <w:hideMark/>
          </w:tcPr>
          <w:p w:rsidR="00BF309F" w:rsidRPr="00343034" w:rsidRDefault="00BF309F"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147</w:t>
            </w:r>
          </w:p>
        </w:tc>
        <w:tc>
          <w:tcPr>
            <w:tcW w:w="727" w:type="pct"/>
            <w:tcBorders>
              <w:top w:val="nil"/>
              <w:left w:val="nil"/>
              <w:bottom w:val="single" w:sz="4" w:space="0" w:color="auto"/>
              <w:right w:val="single" w:sz="4" w:space="0" w:color="auto"/>
            </w:tcBorders>
            <w:shd w:val="clear" w:color="auto" w:fill="auto"/>
            <w:noWrap/>
            <w:vAlign w:val="center"/>
            <w:hideMark/>
          </w:tcPr>
          <w:p w:rsidR="00BF309F" w:rsidRPr="00343034" w:rsidRDefault="00BF309F"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43</w:t>
            </w:r>
          </w:p>
        </w:tc>
        <w:tc>
          <w:tcPr>
            <w:tcW w:w="951" w:type="pct"/>
            <w:tcBorders>
              <w:top w:val="nil"/>
              <w:left w:val="nil"/>
              <w:bottom w:val="single" w:sz="4" w:space="0" w:color="auto"/>
              <w:right w:val="single" w:sz="4" w:space="0" w:color="auto"/>
            </w:tcBorders>
            <w:shd w:val="clear" w:color="auto" w:fill="auto"/>
            <w:noWrap/>
            <w:vAlign w:val="center"/>
            <w:hideMark/>
          </w:tcPr>
          <w:p w:rsidR="00BF309F" w:rsidRPr="00343034" w:rsidRDefault="00BF309F"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22.63</w:t>
            </w:r>
          </w:p>
        </w:tc>
      </w:tr>
      <w:tr w:rsidR="00BF309F" w:rsidRPr="00343034" w:rsidTr="00196DDC">
        <w:trPr>
          <w:trHeight w:val="405"/>
        </w:trPr>
        <w:tc>
          <w:tcPr>
            <w:tcW w:w="1260" w:type="pct"/>
            <w:tcBorders>
              <w:top w:val="nil"/>
              <w:left w:val="single" w:sz="4" w:space="0" w:color="auto"/>
              <w:bottom w:val="single" w:sz="4" w:space="0" w:color="auto"/>
              <w:right w:val="single" w:sz="4" w:space="0" w:color="auto"/>
            </w:tcBorders>
            <w:shd w:val="clear" w:color="auto" w:fill="auto"/>
            <w:noWrap/>
            <w:vAlign w:val="center"/>
            <w:hideMark/>
          </w:tcPr>
          <w:p w:rsidR="00BF309F" w:rsidRPr="00343034" w:rsidRDefault="00BF309F" w:rsidP="00343034">
            <w:pPr>
              <w:spacing w:after="0"/>
              <w:rPr>
                <w:rFonts w:ascii="Times New Roman" w:eastAsia="Times New Roman" w:hAnsi="Times New Roman"/>
                <w:sz w:val="24"/>
                <w:szCs w:val="24"/>
              </w:rPr>
            </w:pPr>
            <w:r w:rsidRPr="00343034">
              <w:rPr>
                <w:rFonts w:ascii="Times New Roman" w:eastAsia="Times New Roman" w:hAnsi="Times New Roman"/>
                <w:sz w:val="24"/>
                <w:szCs w:val="24"/>
              </w:rPr>
              <w:t>BA 3rd</w:t>
            </w:r>
          </w:p>
        </w:tc>
        <w:tc>
          <w:tcPr>
            <w:tcW w:w="724" w:type="pct"/>
            <w:tcBorders>
              <w:top w:val="nil"/>
              <w:left w:val="nil"/>
              <w:bottom w:val="single" w:sz="4" w:space="0" w:color="auto"/>
              <w:right w:val="single" w:sz="4" w:space="0" w:color="auto"/>
            </w:tcBorders>
            <w:shd w:val="clear" w:color="auto" w:fill="auto"/>
            <w:noWrap/>
            <w:vAlign w:val="center"/>
            <w:hideMark/>
          </w:tcPr>
          <w:p w:rsidR="00BF309F" w:rsidRPr="00343034" w:rsidRDefault="00BF309F"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172</w:t>
            </w:r>
          </w:p>
        </w:tc>
        <w:tc>
          <w:tcPr>
            <w:tcW w:w="1338" w:type="pct"/>
            <w:tcBorders>
              <w:top w:val="nil"/>
              <w:left w:val="nil"/>
              <w:bottom w:val="single" w:sz="4" w:space="0" w:color="auto"/>
              <w:right w:val="single" w:sz="4" w:space="0" w:color="auto"/>
            </w:tcBorders>
            <w:shd w:val="clear" w:color="auto" w:fill="auto"/>
            <w:noWrap/>
            <w:vAlign w:val="center"/>
            <w:hideMark/>
          </w:tcPr>
          <w:p w:rsidR="00BF309F" w:rsidRPr="00343034" w:rsidRDefault="00BF309F"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169</w:t>
            </w:r>
          </w:p>
        </w:tc>
        <w:tc>
          <w:tcPr>
            <w:tcW w:w="727" w:type="pct"/>
            <w:tcBorders>
              <w:top w:val="nil"/>
              <w:left w:val="nil"/>
              <w:bottom w:val="single" w:sz="4" w:space="0" w:color="auto"/>
              <w:right w:val="single" w:sz="4" w:space="0" w:color="auto"/>
            </w:tcBorders>
            <w:shd w:val="clear" w:color="auto" w:fill="auto"/>
            <w:noWrap/>
            <w:vAlign w:val="center"/>
            <w:hideMark/>
          </w:tcPr>
          <w:p w:rsidR="00BF309F" w:rsidRPr="00343034" w:rsidRDefault="00BF309F"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3</w:t>
            </w:r>
          </w:p>
        </w:tc>
        <w:tc>
          <w:tcPr>
            <w:tcW w:w="951" w:type="pct"/>
            <w:tcBorders>
              <w:top w:val="nil"/>
              <w:left w:val="nil"/>
              <w:bottom w:val="single" w:sz="4" w:space="0" w:color="auto"/>
              <w:right w:val="single" w:sz="4" w:space="0" w:color="auto"/>
            </w:tcBorders>
            <w:shd w:val="clear" w:color="auto" w:fill="auto"/>
            <w:noWrap/>
            <w:vAlign w:val="center"/>
            <w:hideMark/>
          </w:tcPr>
          <w:p w:rsidR="00BF309F" w:rsidRPr="00343034" w:rsidRDefault="00BF309F"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1.74</w:t>
            </w:r>
          </w:p>
        </w:tc>
      </w:tr>
      <w:tr w:rsidR="00BF309F" w:rsidRPr="00343034" w:rsidTr="00196DDC">
        <w:trPr>
          <w:trHeight w:val="405"/>
        </w:trPr>
        <w:tc>
          <w:tcPr>
            <w:tcW w:w="1260" w:type="pct"/>
            <w:tcBorders>
              <w:top w:val="nil"/>
              <w:left w:val="single" w:sz="4" w:space="0" w:color="auto"/>
              <w:bottom w:val="single" w:sz="4" w:space="0" w:color="auto"/>
              <w:right w:val="single" w:sz="4" w:space="0" w:color="auto"/>
            </w:tcBorders>
            <w:shd w:val="clear" w:color="auto" w:fill="auto"/>
            <w:noWrap/>
            <w:vAlign w:val="center"/>
            <w:hideMark/>
          </w:tcPr>
          <w:p w:rsidR="00BF309F" w:rsidRPr="00343034" w:rsidRDefault="00BF309F" w:rsidP="00343034">
            <w:pPr>
              <w:spacing w:after="0"/>
              <w:rPr>
                <w:rFonts w:ascii="Times New Roman" w:eastAsia="Times New Roman" w:hAnsi="Times New Roman"/>
                <w:sz w:val="24"/>
                <w:szCs w:val="24"/>
              </w:rPr>
            </w:pPr>
            <w:r w:rsidRPr="00343034">
              <w:rPr>
                <w:rFonts w:ascii="Times New Roman" w:eastAsia="Times New Roman" w:hAnsi="Times New Roman"/>
                <w:sz w:val="24"/>
                <w:szCs w:val="24"/>
              </w:rPr>
              <w:t>BBS 1st</w:t>
            </w:r>
          </w:p>
        </w:tc>
        <w:tc>
          <w:tcPr>
            <w:tcW w:w="724" w:type="pct"/>
            <w:tcBorders>
              <w:top w:val="nil"/>
              <w:left w:val="nil"/>
              <w:bottom w:val="single" w:sz="4" w:space="0" w:color="auto"/>
              <w:right w:val="single" w:sz="4" w:space="0" w:color="auto"/>
            </w:tcBorders>
            <w:shd w:val="clear" w:color="auto" w:fill="auto"/>
            <w:noWrap/>
            <w:vAlign w:val="center"/>
            <w:hideMark/>
          </w:tcPr>
          <w:p w:rsidR="00BF309F" w:rsidRPr="00343034" w:rsidRDefault="00BF309F"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395</w:t>
            </w:r>
          </w:p>
        </w:tc>
        <w:tc>
          <w:tcPr>
            <w:tcW w:w="1338" w:type="pct"/>
            <w:tcBorders>
              <w:top w:val="nil"/>
              <w:left w:val="nil"/>
              <w:bottom w:val="single" w:sz="4" w:space="0" w:color="auto"/>
              <w:right w:val="single" w:sz="4" w:space="0" w:color="auto"/>
            </w:tcBorders>
            <w:shd w:val="clear" w:color="auto" w:fill="auto"/>
            <w:noWrap/>
            <w:vAlign w:val="center"/>
            <w:hideMark/>
          </w:tcPr>
          <w:p w:rsidR="00BF309F" w:rsidRPr="00343034" w:rsidRDefault="00BF309F"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296</w:t>
            </w:r>
          </w:p>
        </w:tc>
        <w:tc>
          <w:tcPr>
            <w:tcW w:w="727" w:type="pct"/>
            <w:tcBorders>
              <w:top w:val="nil"/>
              <w:left w:val="nil"/>
              <w:bottom w:val="single" w:sz="4" w:space="0" w:color="auto"/>
              <w:right w:val="single" w:sz="4" w:space="0" w:color="auto"/>
            </w:tcBorders>
            <w:shd w:val="clear" w:color="auto" w:fill="auto"/>
            <w:noWrap/>
            <w:vAlign w:val="center"/>
            <w:hideMark/>
          </w:tcPr>
          <w:p w:rsidR="00BF309F" w:rsidRPr="00343034" w:rsidRDefault="00BF309F"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99</w:t>
            </w:r>
          </w:p>
        </w:tc>
        <w:tc>
          <w:tcPr>
            <w:tcW w:w="951" w:type="pct"/>
            <w:tcBorders>
              <w:top w:val="nil"/>
              <w:left w:val="nil"/>
              <w:bottom w:val="single" w:sz="4" w:space="0" w:color="auto"/>
              <w:right w:val="single" w:sz="4" w:space="0" w:color="auto"/>
            </w:tcBorders>
            <w:shd w:val="clear" w:color="auto" w:fill="auto"/>
            <w:noWrap/>
            <w:vAlign w:val="center"/>
            <w:hideMark/>
          </w:tcPr>
          <w:p w:rsidR="00BF309F" w:rsidRPr="00343034" w:rsidRDefault="00BF309F"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25.06</w:t>
            </w:r>
          </w:p>
        </w:tc>
      </w:tr>
      <w:tr w:rsidR="00BF309F" w:rsidRPr="00343034" w:rsidTr="00196DDC">
        <w:trPr>
          <w:trHeight w:val="405"/>
        </w:trPr>
        <w:tc>
          <w:tcPr>
            <w:tcW w:w="1260" w:type="pct"/>
            <w:tcBorders>
              <w:top w:val="nil"/>
              <w:left w:val="single" w:sz="4" w:space="0" w:color="auto"/>
              <w:bottom w:val="single" w:sz="4" w:space="0" w:color="auto"/>
              <w:right w:val="single" w:sz="4" w:space="0" w:color="auto"/>
            </w:tcBorders>
            <w:shd w:val="clear" w:color="auto" w:fill="auto"/>
            <w:noWrap/>
            <w:vAlign w:val="center"/>
            <w:hideMark/>
          </w:tcPr>
          <w:p w:rsidR="00BF309F" w:rsidRPr="00343034" w:rsidRDefault="00BF309F" w:rsidP="00343034">
            <w:pPr>
              <w:spacing w:after="0"/>
              <w:rPr>
                <w:rFonts w:ascii="Times New Roman" w:eastAsia="Times New Roman" w:hAnsi="Times New Roman"/>
                <w:sz w:val="24"/>
                <w:szCs w:val="24"/>
              </w:rPr>
            </w:pPr>
            <w:r w:rsidRPr="00343034">
              <w:rPr>
                <w:rFonts w:ascii="Times New Roman" w:eastAsia="Times New Roman" w:hAnsi="Times New Roman"/>
                <w:sz w:val="24"/>
                <w:szCs w:val="24"/>
              </w:rPr>
              <w:t>BBS 2nd</w:t>
            </w:r>
          </w:p>
        </w:tc>
        <w:tc>
          <w:tcPr>
            <w:tcW w:w="724" w:type="pct"/>
            <w:tcBorders>
              <w:top w:val="nil"/>
              <w:left w:val="nil"/>
              <w:bottom w:val="single" w:sz="4" w:space="0" w:color="auto"/>
              <w:right w:val="single" w:sz="4" w:space="0" w:color="auto"/>
            </w:tcBorders>
            <w:shd w:val="clear" w:color="auto" w:fill="auto"/>
            <w:noWrap/>
            <w:vAlign w:val="center"/>
            <w:hideMark/>
          </w:tcPr>
          <w:p w:rsidR="00BF309F" w:rsidRPr="00343034" w:rsidRDefault="00BF309F"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191</w:t>
            </w:r>
          </w:p>
        </w:tc>
        <w:tc>
          <w:tcPr>
            <w:tcW w:w="1338" w:type="pct"/>
            <w:tcBorders>
              <w:top w:val="nil"/>
              <w:left w:val="nil"/>
              <w:bottom w:val="single" w:sz="4" w:space="0" w:color="auto"/>
              <w:right w:val="single" w:sz="4" w:space="0" w:color="auto"/>
            </w:tcBorders>
            <w:shd w:val="clear" w:color="auto" w:fill="auto"/>
            <w:noWrap/>
            <w:vAlign w:val="center"/>
            <w:hideMark/>
          </w:tcPr>
          <w:p w:rsidR="00BF309F" w:rsidRPr="00343034" w:rsidRDefault="00BF309F"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132</w:t>
            </w:r>
          </w:p>
        </w:tc>
        <w:tc>
          <w:tcPr>
            <w:tcW w:w="727" w:type="pct"/>
            <w:tcBorders>
              <w:top w:val="nil"/>
              <w:left w:val="nil"/>
              <w:bottom w:val="single" w:sz="4" w:space="0" w:color="auto"/>
              <w:right w:val="single" w:sz="4" w:space="0" w:color="auto"/>
            </w:tcBorders>
            <w:shd w:val="clear" w:color="auto" w:fill="auto"/>
            <w:noWrap/>
            <w:vAlign w:val="center"/>
            <w:hideMark/>
          </w:tcPr>
          <w:p w:rsidR="00BF309F" w:rsidRPr="00343034" w:rsidRDefault="00BF309F"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59</w:t>
            </w:r>
          </w:p>
        </w:tc>
        <w:tc>
          <w:tcPr>
            <w:tcW w:w="951" w:type="pct"/>
            <w:tcBorders>
              <w:top w:val="nil"/>
              <w:left w:val="nil"/>
              <w:bottom w:val="single" w:sz="4" w:space="0" w:color="auto"/>
              <w:right w:val="single" w:sz="4" w:space="0" w:color="auto"/>
            </w:tcBorders>
            <w:shd w:val="clear" w:color="auto" w:fill="auto"/>
            <w:noWrap/>
            <w:vAlign w:val="center"/>
            <w:hideMark/>
          </w:tcPr>
          <w:p w:rsidR="00BF309F" w:rsidRPr="00343034" w:rsidRDefault="00BF309F"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30.89</w:t>
            </w:r>
          </w:p>
        </w:tc>
      </w:tr>
      <w:tr w:rsidR="00BF309F" w:rsidRPr="00343034" w:rsidTr="00196DDC">
        <w:trPr>
          <w:trHeight w:val="405"/>
        </w:trPr>
        <w:tc>
          <w:tcPr>
            <w:tcW w:w="1260" w:type="pct"/>
            <w:tcBorders>
              <w:top w:val="nil"/>
              <w:left w:val="single" w:sz="4" w:space="0" w:color="auto"/>
              <w:bottom w:val="single" w:sz="4" w:space="0" w:color="auto"/>
              <w:right w:val="single" w:sz="4" w:space="0" w:color="auto"/>
            </w:tcBorders>
            <w:shd w:val="clear" w:color="auto" w:fill="auto"/>
            <w:noWrap/>
            <w:vAlign w:val="center"/>
            <w:hideMark/>
          </w:tcPr>
          <w:p w:rsidR="00BF309F" w:rsidRPr="00343034" w:rsidRDefault="00BF309F" w:rsidP="00343034">
            <w:pPr>
              <w:spacing w:after="0"/>
              <w:rPr>
                <w:rFonts w:ascii="Times New Roman" w:eastAsia="Times New Roman" w:hAnsi="Times New Roman"/>
                <w:sz w:val="24"/>
                <w:szCs w:val="24"/>
              </w:rPr>
            </w:pPr>
            <w:r w:rsidRPr="00343034">
              <w:rPr>
                <w:rFonts w:ascii="Times New Roman" w:eastAsia="Times New Roman" w:hAnsi="Times New Roman"/>
                <w:sz w:val="24"/>
                <w:szCs w:val="24"/>
              </w:rPr>
              <w:t>BBS 3rd</w:t>
            </w:r>
          </w:p>
        </w:tc>
        <w:tc>
          <w:tcPr>
            <w:tcW w:w="724" w:type="pct"/>
            <w:tcBorders>
              <w:top w:val="nil"/>
              <w:left w:val="nil"/>
              <w:bottom w:val="single" w:sz="4" w:space="0" w:color="auto"/>
              <w:right w:val="single" w:sz="4" w:space="0" w:color="auto"/>
            </w:tcBorders>
            <w:shd w:val="clear" w:color="auto" w:fill="auto"/>
            <w:noWrap/>
            <w:vAlign w:val="center"/>
            <w:hideMark/>
          </w:tcPr>
          <w:p w:rsidR="00BF309F" w:rsidRPr="00343034" w:rsidRDefault="00BF309F"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108</w:t>
            </w:r>
          </w:p>
        </w:tc>
        <w:tc>
          <w:tcPr>
            <w:tcW w:w="1338" w:type="pct"/>
            <w:tcBorders>
              <w:top w:val="nil"/>
              <w:left w:val="nil"/>
              <w:bottom w:val="single" w:sz="4" w:space="0" w:color="auto"/>
              <w:right w:val="single" w:sz="4" w:space="0" w:color="auto"/>
            </w:tcBorders>
            <w:shd w:val="clear" w:color="auto" w:fill="auto"/>
            <w:noWrap/>
            <w:vAlign w:val="center"/>
            <w:hideMark/>
          </w:tcPr>
          <w:p w:rsidR="00BF309F" w:rsidRPr="00343034" w:rsidRDefault="00BF309F"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86</w:t>
            </w:r>
          </w:p>
        </w:tc>
        <w:tc>
          <w:tcPr>
            <w:tcW w:w="727" w:type="pct"/>
            <w:tcBorders>
              <w:top w:val="nil"/>
              <w:left w:val="nil"/>
              <w:bottom w:val="single" w:sz="4" w:space="0" w:color="auto"/>
              <w:right w:val="single" w:sz="4" w:space="0" w:color="auto"/>
            </w:tcBorders>
            <w:shd w:val="clear" w:color="auto" w:fill="auto"/>
            <w:noWrap/>
            <w:vAlign w:val="center"/>
            <w:hideMark/>
          </w:tcPr>
          <w:p w:rsidR="00BF309F" w:rsidRPr="00343034" w:rsidRDefault="00BF309F"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22</w:t>
            </w:r>
          </w:p>
        </w:tc>
        <w:tc>
          <w:tcPr>
            <w:tcW w:w="951" w:type="pct"/>
            <w:tcBorders>
              <w:top w:val="nil"/>
              <w:left w:val="nil"/>
              <w:bottom w:val="single" w:sz="4" w:space="0" w:color="auto"/>
              <w:right w:val="single" w:sz="4" w:space="0" w:color="auto"/>
            </w:tcBorders>
            <w:shd w:val="clear" w:color="auto" w:fill="auto"/>
            <w:noWrap/>
            <w:vAlign w:val="center"/>
            <w:hideMark/>
          </w:tcPr>
          <w:p w:rsidR="00BF309F" w:rsidRPr="00343034" w:rsidRDefault="00BF309F"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20.37</w:t>
            </w:r>
          </w:p>
        </w:tc>
      </w:tr>
      <w:tr w:rsidR="00BF309F" w:rsidRPr="00343034" w:rsidTr="00196DDC">
        <w:trPr>
          <w:trHeight w:val="405"/>
        </w:trPr>
        <w:tc>
          <w:tcPr>
            <w:tcW w:w="1260" w:type="pct"/>
            <w:tcBorders>
              <w:top w:val="nil"/>
              <w:left w:val="single" w:sz="4" w:space="0" w:color="auto"/>
              <w:bottom w:val="single" w:sz="4" w:space="0" w:color="auto"/>
              <w:right w:val="single" w:sz="4" w:space="0" w:color="auto"/>
            </w:tcBorders>
            <w:shd w:val="clear" w:color="auto" w:fill="auto"/>
            <w:noWrap/>
            <w:vAlign w:val="center"/>
            <w:hideMark/>
          </w:tcPr>
          <w:p w:rsidR="00BF309F" w:rsidRPr="00343034" w:rsidRDefault="00BF309F" w:rsidP="00343034">
            <w:pPr>
              <w:spacing w:after="0"/>
              <w:rPr>
                <w:rFonts w:ascii="Times New Roman" w:eastAsia="Times New Roman" w:hAnsi="Times New Roman"/>
                <w:sz w:val="24"/>
                <w:szCs w:val="24"/>
              </w:rPr>
            </w:pPr>
            <w:r w:rsidRPr="00343034">
              <w:rPr>
                <w:rFonts w:ascii="Times New Roman" w:eastAsia="Times New Roman" w:hAnsi="Times New Roman"/>
                <w:sz w:val="24"/>
                <w:szCs w:val="24"/>
              </w:rPr>
              <w:t xml:space="preserve">BBS 4th </w:t>
            </w:r>
          </w:p>
        </w:tc>
        <w:tc>
          <w:tcPr>
            <w:tcW w:w="724" w:type="pct"/>
            <w:tcBorders>
              <w:top w:val="nil"/>
              <w:left w:val="nil"/>
              <w:bottom w:val="single" w:sz="4" w:space="0" w:color="auto"/>
              <w:right w:val="single" w:sz="4" w:space="0" w:color="auto"/>
            </w:tcBorders>
            <w:shd w:val="clear" w:color="auto" w:fill="auto"/>
            <w:noWrap/>
            <w:vAlign w:val="center"/>
            <w:hideMark/>
          </w:tcPr>
          <w:p w:rsidR="00BF309F" w:rsidRPr="00343034" w:rsidRDefault="00BF309F"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112</w:t>
            </w:r>
          </w:p>
        </w:tc>
        <w:tc>
          <w:tcPr>
            <w:tcW w:w="1338" w:type="pct"/>
            <w:tcBorders>
              <w:top w:val="nil"/>
              <w:left w:val="nil"/>
              <w:bottom w:val="single" w:sz="4" w:space="0" w:color="auto"/>
              <w:right w:val="single" w:sz="4" w:space="0" w:color="auto"/>
            </w:tcBorders>
            <w:shd w:val="clear" w:color="auto" w:fill="auto"/>
            <w:noWrap/>
            <w:vAlign w:val="center"/>
            <w:hideMark/>
          </w:tcPr>
          <w:p w:rsidR="00BF309F" w:rsidRPr="00343034" w:rsidRDefault="00BF309F"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71</w:t>
            </w:r>
          </w:p>
        </w:tc>
        <w:tc>
          <w:tcPr>
            <w:tcW w:w="727" w:type="pct"/>
            <w:tcBorders>
              <w:top w:val="nil"/>
              <w:left w:val="nil"/>
              <w:bottom w:val="single" w:sz="4" w:space="0" w:color="auto"/>
              <w:right w:val="single" w:sz="4" w:space="0" w:color="auto"/>
            </w:tcBorders>
            <w:shd w:val="clear" w:color="auto" w:fill="auto"/>
            <w:noWrap/>
            <w:vAlign w:val="center"/>
            <w:hideMark/>
          </w:tcPr>
          <w:p w:rsidR="00BF309F" w:rsidRPr="00343034" w:rsidRDefault="00BF309F"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41</w:t>
            </w:r>
          </w:p>
        </w:tc>
        <w:tc>
          <w:tcPr>
            <w:tcW w:w="951" w:type="pct"/>
            <w:tcBorders>
              <w:top w:val="nil"/>
              <w:left w:val="nil"/>
              <w:bottom w:val="single" w:sz="4" w:space="0" w:color="auto"/>
              <w:right w:val="single" w:sz="4" w:space="0" w:color="auto"/>
            </w:tcBorders>
            <w:shd w:val="clear" w:color="auto" w:fill="auto"/>
            <w:noWrap/>
            <w:vAlign w:val="center"/>
            <w:hideMark/>
          </w:tcPr>
          <w:p w:rsidR="00BF309F" w:rsidRPr="00343034" w:rsidRDefault="00BF309F"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36.61</w:t>
            </w:r>
          </w:p>
        </w:tc>
      </w:tr>
      <w:tr w:rsidR="00BF309F" w:rsidRPr="00343034" w:rsidTr="00196DDC">
        <w:trPr>
          <w:trHeight w:val="405"/>
        </w:trPr>
        <w:tc>
          <w:tcPr>
            <w:tcW w:w="1260" w:type="pct"/>
            <w:tcBorders>
              <w:top w:val="nil"/>
              <w:left w:val="single" w:sz="4" w:space="0" w:color="auto"/>
              <w:bottom w:val="single" w:sz="4" w:space="0" w:color="auto"/>
              <w:right w:val="single" w:sz="4" w:space="0" w:color="auto"/>
            </w:tcBorders>
            <w:shd w:val="clear" w:color="auto" w:fill="auto"/>
            <w:noWrap/>
            <w:vAlign w:val="center"/>
            <w:hideMark/>
          </w:tcPr>
          <w:p w:rsidR="00BF309F" w:rsidRPr="00343034" w:rsidRDefault="00BF309F" w:rsidP="00343034">
            <w:pPr>
              <w:spacing w:after="0"/>
              <w:rPr>
                <w:rFonts w:ascii="Times New Roman" w:eastAsia="Times New Roman" w:hAnsi="Times New Roman"/>
                <w:sz w:val="24"/>
                <w:szCs w:val="24"/>
              </w:rPr>
            </w:pPr>
            <w:r w:rsidRPr="00343034">
              <w:rPr>
                <w:rFonts w:ascii="Times New Roman" w:eastAsia="Times New Roman" w:hAnsi="Times New Roman"/>
                <w:sz w:val="24"/>
                <w:szCs w:val="24"/>
              </w:rPr>
              <w:t>B.Ed</w:t>
            </w:r>
            <w:r w:rsidR="003B577D" w:rsidRPr="00343034">
              <w:rPr>
                <w:rFonts w:ascii="Times New Roman" w:eastAsia="Times New Roman" w:hAnsi="Times New Roman"/>
                <w:sz w:val="24"/>
                <w:szCs w:val="24"/>
              </w:rPr>
              <w:t>.</w:t>
            </w:r>
            <w:r w:rsidRPr="00343034">
              <w:rPr>
                <w:rFonts w:ascii="Times New Roman" w:eastAsia="Times New Roman" w:hAnsi="Times New Roman"/>
                <w:sz w:val="24"/>
                <w:szCs w:val="24"/>
              </w:rPr>
              <w:t xml:space="preserve"> 1st</w:t>
            </w:r>
          </w:p>
        </w:tc>
        <w:tc>
          <w:tcPr>
            <w:tcW w:w="724" w:type="pct"/>
            <w:tcBorders>
              <w:top w:val="nil"/>
              <w:left w:val="nil"/>
              <w:bottom w:val="single" w:sz="4" w:space="0" w:color="auto"/>
              <w:right w:val="single" w:sz="4" w:space="0" w:color="auto"/>
            </w:tcBorders>
            <w:shd w:val="clear" w:color="auto" w:fill="auto"/>
            <w:noWrap/>
            <w:vAlign w:val="center"/>
            <w:hideMark/>
          </w:tcPr>
          <w:p w:rsidR="00BF309F" w:rsidRPr="00343034" w:rsidRDefault="00BF309F"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154</w:t>
            </w:r>
          </w:p>
        </w:tc>
        <w:tc>
          <w:tcPr>
            <w:tcW w:w="1338" w:type="pct"/>
            <w:tcBorders>
              <w:top w:val="nil"/>
              <w:left w:val="nil"/>
              <w:bottom w:val="single" w:sz="4" w:space="0" w:color="auto"/>
              <w:right w:val="single" w:sz="4" w:space="0" w:color="auto"/>
            </w:tcBorders>
            <w:shd w:val="clear" w:color="auto" w:fill="auto"/>
            <w:noWrap/>
            <w:vAlign w:val="center"/>
            <w:hideMark/>
          </w:tcPr>
          <w:p w:rsidR="00BF309F" w:rsidRPr="00343034" w:rsidRDefault="00BF309F"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121</w:t>
            </w:r>
          </w:p>
        </w:tc>
        <w:tc>
          <w:tcPr>
            <w:tcW w:w="727" w:type="pct"/>
            <w:tcBorders>
              <w:top w:val="nil"/>
              <w:left w:val="nil"/>
              <w:bottom w:val="single" w:sz="4" w:space="0" w:color="auto"/>
              <w:right w:val="single" w:sz="4" w:space="0" w:color="auto"/>
            </w:tcBorders>
            <w:shd w:val="clear" w:color="auto" w:fill="auto"/>
            <w:noWrap/>
            <w:vAlign w:val="center"/>
            <w:hideMark/>
          </w:tcPr>
          <w:p w:rsidR="00BF309F" w:rsidRPr="00343034" w:rsidRDefault="00BF309F"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33</w:t>
            </w:r>
          </w:p>
        </w:tc>
        <w:tc>
          <w:tcPr>
            <w:tcW w:w="951" w:type="pct"/>
            <w:tcBorders>
              <w:top w:val="nil"/>
              <w:left w:val="nil"/>
              <w:bottom w:val="single" w:sz="4" w:space="0" w:color="auto"/>
              <w:right w:val="single" w:sz="4" w:space="0" w:color="auto"/>
            </w:tcBorders>
            <w:shd w:val="clear" w:color="auto" w:fill="auto"/>
            <w:noWrap/>
            <w:vAlign w:val="center"/>
            <w:hideMark/>
          </w:tcPr>
          <w:p w:rsidR="00BF309F" w:rsidRPr="00343034" w:rsidRDefault="00BF309F"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21.43</w:t>
            </w:r>
          </w:p>
        </w:tc>
      </w:tr>
      <w:tr w:rsidR="00BF309F" w:rsidRPr="00343034" w:rsidTr="00196DDC">
        <w:trPr>
          <w:trHeight w:val="405"/>
        </w:trPr>
        <w:tc>
          <w:tcPr>
            <w:tcW w:w="1260" w:type="pct"/>
            <w:tcBorders>
              <w:top w:val="nil"/>
              <w:left w:val="single" w:sz="4" w:space="0" w:color="auto"/>
              <w:bottom w:val="single" w:sz="4" w:space="0" w:color="auto"/>
              <w:right w:val="single" w:sz="4" w:space="0" w:color="auto"/>
            </w:tcBorders>
            <w:shd w:val="clear" w:color="auto" w:fill="auto"/>
            <w:noWrap/>
            <w:vAlign w:val="center"/>
            <w:hideMark/>
          </w:tcPr>
          <w:p w:rsidR="00BF309F" w:rsidRPr="00343034" w:rsidRDefault="00BF309F" w:rsidP="00343034">
            <w:pPr>
              <w:spacing w:after="0"/>
              <w:rPr>
                <w:rFonts w:ascii="Times New Roman" w:eastAsia="Times New Roman" w:hAnsi="Times New Roman"/>
                <w:sz w:val="24"/>
                <w:szCs w:val="24"/>
              </w:rPr>
            </w:pPr>
            <w:r w:rsidRPr="00343034">
              <w:rPr>
                <w:rFonts w:ascii="Times New Roman" w:eastAsia="Times New Roman" w:hAnsi="Times New Roman"/>
                <w:sz w:val="24"/>
                <w:szCs w:val="24"/>
              </w:rPr>
              <w:t>B.Ed</w:t>
            </w:r>
            <w:r w:rsidR="00BE3491" w:rsidRPr="00343034">
              <w:rPr>
                <w:rFonts w:ascii="Times New Roman" w:eastAsia="Times New Roman" w:hAnsi="Times New Roman"/>
                <w:sz w:val="24"/>
                <w:szCs w:val="24"/>
              </w:rPr>
              <w:t>.</w:t>
            </w:r>
            <w:r w:rsidRPr="00343034">
              <w:rPr>
                <w:rFonts w:ascii="Times New Roman" w:eastAsia="Times New Roman" w:hAnsi="Times New Roman"/>
                <w:sz w:val="24"/>
                <w:szCs w:val="24"/>
              </w:rPr>
              <w:t xml:space="preserve"> 2nd</w:t>
            </w:r>
          </w:p>
        </w:tc>
        <w:tc>
          <w:tcPr>
            <w:tcW w:w="724" w:type="pct"/>
            <w:tcBorders>
              <w:top w:val="nil"/>
              <w:left w:val="nil"/>
              <w:bottom w:val="single" w:sz="4" w:space="0" w:color="auto"/>
              <w:right w:val="single" w:sz="4" w:space="0" w:color="auto"/>
            </w:tcBorders>
            <w:shd w:val="clear" w:color="auto" w:fill="auto"/>
            <w:noWrap/>
            <w:vAlign w:val="center"/>
            <w:hideMark/>
          </w:tcPr>
          <w:p w:rsidR="00BF309F" w:rsidRPr="00343034" w:rsidRDefault="00BF309F"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91</w:t>
            </w:r>
          </w:p>
        </w:tc>
        <w:tc>
          <w:tcPr>
            <w:tcW w:w="1338" w:type="pct"/>
            <w:tcBorders>
              <w:top w:val="nil"/>
              <w:left w:val="nil"/>
              <w:bottom w:val="single" w:sz="4" w:space="0" w:color="auto"/>
              <w:right w:val="single" w:sz="4" w:space="0" w:color="auto"/>
            </w:tcBorders>
            <w:shd w:val="clear" w:color="auto" w:fill="auto"/>
            <w:noWrap/>
            <w:vAlign w:val="center"/>
            <w:hideMark/>
          </w:tcPr>
          <w:p w:rsidR="00BF309F" w:rsidRPr="00343034" w:rsidRDefault="00BF309F"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73</w:t>
            </w:r>
          </w:p>
        </w:tc>
        <w:tc>
          <w:tcPr>
            <w:tcW w:w="727" w:type="pct"/>
            <w:tcBorders>
              <w:top w:val="nil"/>
              <w:left w:val="nil"/>
              <w:bottom w:val="single" w:sz="4" w:space="0" w:color="auto"/>
              <w:right w:val="single" w:sz="4" w:space="0" w:color="auto"/>
            </w:tcBorders>
            <w:shd w:val="clear" w:color="auto" w:fill="auto"/>
            <w:noWrap/>
            <w:vAlign w:val="center"/>
            <w:hideMark/>
          </w:tcPr>
          <w:p w:rsidR="00BF309F" w:rsidRPr="00343034" w:rsidRDefault="00BF309F"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18</w:t>
            </w:r>
          </w:p>
        </w:tc>
        <w:tc>
          <w:tcPr>
            <w:tcW w:w="951" w:type="pct"/>
            <w:tcBorders>
              <w:top w:val="nil"/>
              <w:left w:val="nil"/>
              <w:bottom w:val="single" w:sz="4" w:space="0" w:color="auto"/>
              <w:right w:val="single" w:sz="4" w:space="0" w:color="auto"/>
            </w:tcBorders>
            <w:shd w:val="clear" w:color="auto" w:fill="auto"/>
            <w:noWrap/>
            <w:vAlign w:val="center"/>
            <w:hideMark/>
          </w:tcPr>
          <w:p w:rsidR="00BF309F" w:rsidRPr="00343034" w:rsidRDefault="00BF309F"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19.78</w:t>
            </w:r>
          </w:p>
        </w:tc>
      </w:tr>
      <w:tr w:rsidR="00BF309F" w:rsidRPr="00343034" w:rsidTr="00196DDC">
        <w:trPr>
          <w:trHeight w:val="405"/>
        </w:trPr>
        <w:tc>
          <w:tcPr>
            <w:tcW w:w="1260" w:type="pct"/>
            <w:tcBorders>
              <w:top w:val="nil"/>
              <w:left w:val="single" w:sz="4" w:space="0" w:color="auto"/>
              <w:bottom w:val="single" w:sz="4" w:space="0" w:color="auto"/>
              <w:right w:val="single" w:sz="4" w:space="0" w:color="auto"/>
            </w:tcBorders>
            <w:shd w:val="clear" w:color="auto" w:fill="auto"/>
            <w:noWrap/>
            <w:vAlign w:val="center"/>
            <w:hideMark/>
          </w:tcPr>
          <w:p w:rsidR="00BF309F" w:rsidRPr="00343034" w:rsidRDefault="00BF309F" w:rsidP="00343034">
            <w:pPr>
              <w:spacing w:after="0"/>
              <w:rPr>
                <w:rFonts w:ascii="Times New Roman" w:eastAsia="Times New Roman" w:hAnsi="Times New Roman"/>
                <w:sz w:val="24"/>
                <w:szCs w:val="24"/>
              </w:rPr>
            </w:pPr>
            <w:r w:rsidRPr="00343034">
              <w:rPr>
                <w:rFonts w:ascii="Times New Roman" w:eastAsia="Times New Roman" w:hAnsi="Times New Roman"/>
                <w:sz w:val="24"/>
                <w:szCs w:val="24"/>
              </w:rPr>
              <w:t>B.Ed</w:t>
            </w:r>
            <w:r w:rsidR="00BE3491" w:rsidRPr="00343034">
              <w:rPr>
                <w:rFonts w:ascii="Times New Roman" w:eastAsia="Times New Roman" w:hAnsi="Times New Roman"/>
                <w:sz w:val="24"/>
                <w:szCs w:val="24"/>
              </w:rPr>
              <w:t>.</w:t>
            </w:r>
            <w:r w:rsidRPr="00343034">
              <w:rPr>
                <w:rFonts w:ascii="Times New Roman" w:eastAsia="Times New Roman" w:hAnsi="Times New Roman"/>
                <w:sz w:val="24"/>
                <w:szCs w:val="24"/>
              </w:rPr>
              <w:t xml:space="preserve"> 3rd</w:t>
            </w:r>
          </w:p>
        </w:tc>
        <w:tc>
          <w:tcPr>
            <w:tcW w:w="724" w:type="pct"/>
            <w:tcBorders>
              <w:top w:val="nil"/>
              <w:left w:val="nil"/>
              <w:bottom w:val="single" w:sz="4" w:space="0" w:color="auto"/>
              <w:right w:val="single" w:sz="4" w:space="0" w:color="auto"/>
            </w:tcBorders>
            <w:shd w:val="clear" w:color="auto" w:fill="auto"/>
            <w:noWrap/>
            <w:vAlign w:val="center"/>
            <w:hideMark/>
          </w:tcPr>
          <w:p w:rsidR="00BF309F" w:rsidRPr="00343034" w:rsidRDefault="00BF309F"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17</w:t>
            </w:r>
          </w:p>
        </w:tc>
        <w:tc>
          <w:tcPr>
            <w:tcW w:w="1338" w:type="pct"/>
            <w:tcBorders>
              <w:top w:val="nil"/>
              <w:left w:val="nil"/>
              <w:bottom w:val="single" w:sz="4" w:space="0" w:color="auto"/>
              <w:right w:val="single" w:sz="4" w:space="0" w:color="auto"/>
            </w:tcBorders>
            <w:shd w:val="clear" w:color="auto" w:fill="auto"/>
            <w:noWrap/>
            <w:vAlign w:val="center"/>
            <w:hideMark/>
          </w:tcPr>
          <w:p w:rsidR="00BF309F" w:rsidRPr="00343034" w:rsidRDefault="00BF309F"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22</w:t>
            </w:r>
          </w:p>
        </w:tc>
        <w:tc>
          <w:tcPr>
            <w:tcW w:w="727" w:type="pct"/>
            <w:tcBorders>
              <w:top w:val="nil"/>
              <w:left w:val="nil"/>
              <w:bottom w:val="single" w:sz="4" w:space="0" w:color="auto"/>
              <w:right w:val="single" w:sz="4" w:space="0" w:color="auto"/>
            </w:tcBorders>
            <w:shd w:val="clear" w:color="auto" w:fill="auto"/>
            <w:noWrap/>
            <w:vAlign w:val="center"/>
            <w:hideMark/>
          </w:tcPr>
          <w:p w:rsidR="00BF309F" w:rsidRPr="00343034" w:rsidRDefault="00BF309F"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-5</w:t>
            </w:r>
          </w:p>
        </w:tc>
        <w:tc>
          <w:tcPr>
            <w:tcW w:w="951" w:type="pct"/>
            <w:tcBorders>
              <w:top w:val="nil"/>
              <w:left w:val="nil"/>
              <w:bottom w:val="single" w:sz="4" w:space="0" w:color="auto"/>
              <w:right w:val="single" w:sz="4" w:space="0" w:color="auto"/>
            </w:tcBorders>
            <w:shd w:val="clear" w:color="auto" w:fill="auto"/>
            <w:noWrap/>
            <w:vAlign w:val="center"/>
            <w:hideMark/>
          </w:tcPr>
          <w:p w:rsidR="00BF309F" w:rsidRPr="00343034" w:rsidRDefault="00BF309F"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-29.41</w:t>
            </w:r>
          </w:p>
        </w:tc>
      </w:tr>
      <w:tr w:rsidR="00BF309F" w:rsidRPr="00343034" w:rsidTr="00196DDC">
        <w:trPr>
          <w:trHeight w:val="405"/>
        </w:trPr>
        <w:tc>
          <w:tcPr>
            <w:tcW w:w="1260" w:type="pct"/>
            <w:tcBorders>
              <w:top w:val="nil"/>
              <w:left w:val="single" w:sz="4" w:space="0" w:color="auto"/>
              <w:bottom w:val="single" w:sz="4" w:space="0" w:color="auto"/>
              <w:right w:val="single" w:sz="4" w:space="0" w:color="auto"/>
            </w:tcBorders>
            <w:shd w:val="clear" w:color="auto" w:fill="auto"/>
            <w:noWrap/>
            <w:vAlign w:val="center"/>
            <w:hideMark/>
          </w:tcPr>
          <w:p w:rsidR="00BF309F" w:rsidRPr="00343034" w:rsidRDefault="00BF309F" w:rsidP="00343034">
            <w:pPr>
              <w:spacing w:after="0"/>
              <w:rPr>
                <w:rFonts w:ascii="Times New Roman" w:eastAsia="Times New Roman" w:hAnsi="Times New Roman"/>
                <w:sz w:val="24"/>
                <w:szCs w:val="24"/>
              </w:rPr>
            </w:pPr>
            <w:r w:rsidRPr="00343034">
              <w:rPr>
                <w:rFonts w:ascii="Times New Roman" w:eastAsia="Times New Roman" w:hAnsi="Times New Roman"/>
                <w:sz w:val="24"/>
                <w:szCs w:val="24"/>
              </w:rPr>
              <w:t>B.Ed</w:t>
            </w:r>
            <w:r w:rsidR="00BE3491" w:rsidRPr="00343034">
              <w:rPr>
                <w:rFonts w:ascii="Times New Roman" w:eastAsia="Times New Roman" w:hAnsi="Times New Roman"/>
                <w:sz w:val="24"/>
                <w:szCs w:val="24"/>
              </w:rPr>
              <w:t>.</w:t>
            </w:r>
            <w:r w:rsidRPr="00343034">
              <w:rPr>
                <w:rFonts w:ascii="Times New Roman" w:eastAsia="Times New Roman" w:hAnsi="Times New Roman"/>
                <w:sz w:val="24"/>
                <w:szCs w:val="24"/>
              </w:rPr>
              <w:t xml:space="preserve"> 4th </w:t>
            </w:r>
          </w:p>
        </w:tc>
        <w:tc>
          <w:tcPr>
            <w:tcW w:w="724" w:type="pct"/>
            <w:tcBorders>
              <w:top w:val="nil"/>
              <w:left w:val="nil"/>
              <w:bottom w:val="single" w:sz="4" w:space="0" w:color="auto"/>
              <w:right w:val="single" w:sz="4" w:space="0" w:color="auto"/>
            </w:tcBorders>
            <w:shd w:val="clear" w:color="auto" w:fill="auto"/>
            <w:noWrap/>
            <w:vAlign w:val="center"/>
            <w:hideMark/>
          </w:tcPr>
          <w:p w:rsidR="00BF309F" w:rsidRPr="00343034" w:rsidRDefault="00BF309F"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10</w:t>
            </w:r>
          </w:p>
        </w:tc>
        <w:tc>
          <w:tcPr>
            <w:tcW w:w="1338" w:type="pct"/>
            <w:tcBorders>
              <w:top w:val="nil"/>
              <w:left w:val="nil"/>
              <w:bottom w:val="single" w:sz="4" w:space="0" w:color="auto"/>
              <w:right w:val="single" w:sz="4" w:space="0" w:color="auto"/>
            </w:tcBorders>
            <w:shd w:val="clear" w:color="auto" w:fill="auto"/>
            <w:noWrap/>
            <w:vAlign w:val="center"/>
            <w:hideMark/>
          </w:tcPr>
          <w:p w:rsidR="00BF309F" w:rsidRPr="00343034" w:rsidRDefault="00BF309F"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12</w:t>
            </w:r>
          </w:p>
        </w:tc>
        <w:tc>
          <w:tcPr>
            <w:tcW w:w="727" w:type="pct"/>
            <w:tcBorders>
              <w:top w:val="nil"/>
              <w:left w:val="nil"/>
              <w:bottom w:val="single" w:sz="4" w:space="0" w:color="auto"/>
              <w:right w:val="single" w:sz="4" w:space="0" w:color="auto"/>
            </w:tcBorders>
            <w:shd w:val="clear" w:color="auto" w:fill="auto"/>
            <w:noWrap/>
            <w:vAlign w:val="center"/>
            <w:hideMark/>
          </w:tcPr>
          <w:p w:rsidR="00BF309F" w:rsidRPr="00343034" w:rsidRDefault="00BF309F"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-2</w:t>
            </w:r>
          </w:p>
        </w:tc>
        <w:tc>
          <w:tcPr>
            <w:tcW w:w="951" w:type="pct"/>
            <w:tcBorders>
              <w:top w:val="nil"/>
              <w:left w:val="nil"/>
              <w:bottom w:val="single" w:sz="4" w:space="0" w:color="auto"/>
              <w:right w:val="single" w:sz="4" w:space="0" w:color="auto"/>
            </w:tcBorders>
            <w:shd w:val="clear" w:color="auto" w:fill="auto"/>
            <w:noWrap/>
            <w:vAlign w:val="center"/>
            <w:hideMark/>
          </w:tcPr>
          <w:p w:rsidR="00BF309F" w:rsidRPr="00343034" w:rsidRDefault="00BF309F"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-20.00</w:t>
            </w:r>
          </w:p>
        </w:tc>
      </w:tr>
      <w:tr w:rsidR="00BF309F" w:rsidRPr="00343034" w:rsidTr="00196DDC">
        <w:trPr>
          <w:trHeight w:val="405"/>
        </w:trPr>
        <w:tc>
          <w:tcPr>
            <w:tcW w:w="1260" w:type="pct"/>
            <w:tcBorders>
              <w:top w:val="nil"/>
              <w:left w:val="single" w:sz="4" w:space="0" w:color="auto"/>
              <w:bottom w:val="single" w:sz="4" w:space="0" w:color="auto"/>
              <w:right w:val="single" w:sz="4" w:space="0" w:color="auto"/>
            </w:tcBorders>
            <w:shd w:val="clear" w:color="auto" w:fill="auto"/>
            <w:noWrap/>
            <w:vAlign w:val="center"/>
            <w:hideMark/>
          </w:tcPr>
          <w:p w:rsidR="00BF309F" w:rsidRPr="00343034" w:rsidRDefault="00BE3491" w:rsidP="00343034">
            <w:pPr>
              <w:spacing w:after="0"/>
              <w:rPr>
                <w:rFonts w:ascii="Times New Roman" w:eastAsia="Times New Roman" w:hAnsi="Times New Roman"/>
                <w:sz w:val="24"/>
                <w:szCs w:val="24"/>
              </w:rPr>
            </w:pPr>
            <w:r w:rsidRPr="00343034">
              <w:rPr>
                <w:rFonts w:ascii="Times New Roman" w:eastAsia="Times New Roman" w:hAnsi="Times New Roman"/>
                <w:sz w:val="24"/>
                <w:szCs w:val="24"/>
              </w:rPr>
              <w:t>MBS 1 Semester</w:t>
            </w:r>
          </w:p>
        </w:tc>
        <w:tc>
          <w:tcPr>
            <w:tcW w:w="724" w:type="pct"/>
            <w:tcBorders>
              <w:top w:val="nil"/>
              <w:left w:val="nil"/>
              <w:bottom w:val="single" w:sz="4" w:space="0" w:color="auto"/>
              <w:right w:val="single" w:sz="4" w:space="0" w:color="auto"/>
            </w:tcBorders>
            <w:shd w:val="clear" w:color="auto" w:fill="auto"/>
            <w:noWrap/>
            <w:vAlign w:val="center"/>
            <w:hideMark/>
          </w:tcPr>
          <w:p w:rsidR="00BF309F" w:rsidRPr="00343034" w:rsidRDefault="00BF309F"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31</w:t>
            </w:r>
          </w:p>
        </w:tc>
        <w:tc>
          <w:tcPr>
            <w:tcW w:w="1338" w:type="pct"/>
            <w:tcBorders>
              <w:top w:val="nil"/>
              <w:left w:val="nil"/>
              <w:bottom w:val="single" w:sz="4" w:space="0" w:color="auto"/>
              <w:right w:val="single" w:sz="4" w:space="0" w:color="auto"/>
            </w:tcBorders>
            <w:shd w:val="clear" w:color="auto" w:fill="auto"/>
            <w:noWrap/>
            <w:vAlign w:val="center"/>
            <w:hideMark/>
          </w:tcPr>
          <w:p w:rsidR="00BF309F" w:rsidRPr="00343034" w:rsidRDefault="00BF309F"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27</w:t>
            </w:r>
          </w:p>
        </w:tc>
        <w:tc>
          <w:tcPr>
            <w:tcW w:w="727" w:type="pct"/>
            <w:tcBorders>
              <w:top w:val="nil"/>
              <w:left w:val="nil"/>
              <w:bottom w:val="single" w:sz="4" w:space="0" w:color="auto"/>
              <w:right w:val="single" w:sz="4" w:space="0" w:color="auto"/>
            </w:tcBorders>
            <w:shd w:val="clear" w:color="auto" w:fill="auto"/>
            <w:noWrap/>
            <w:vAlign w:val="center"/>
            <w:hideMark/>
          </w:tcPr>
          <w:p w:rsidR="00BF309F" w:rsidRPr="00343034" w:rsidRDefault="00BF309F"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4</w:t>
            </w:r>
          </w:p>
        </w:tc>
        <w:tc>
          <w:tcPr>
            <w:tcW w:w="951" w:type="pct"/>
            <w:tcBorders>
              <w:top w:val="nil"/>
              <w:left w:val="nil"/>
              <w:bottom w:val="single" w:sz="4" w:space="0" w:color="auto"/>
              <w:right w:val="single" w:sz="4" w:space="0" w:color="auto"/>
            </w:tcBorders>
            <w:shd w:val="clear" w:color="auto" w:fill="auto"/>
            <w:noWrap/>
            <w:vAlign w:val="center"/>
            <w:hideMark/>
          </w:tcPr>
          <w:p w:rsidR="00BF309F" w:rsidRPr="00343034" w:rsidRDefault="00BF309F"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12.90</w:t>
            </w:r>
          </w:p>
        </w:tc>
      </w:tr>
      <w:tr w:rsidR="00BF309F" w:rsidRPr="00343034" w:rsidTr="00196DDC">
        <w:trPr>
          <w:trHeight w:val="405"/>
        </w:trPr>
        <w:tc>
          <w:tcPr>
            <w:tcW w:w="1260" w:type="pct"/>
            <w:tcBorders>
              <w:top w:val="nil"/>
              <w:left w:val="single" w:sz="4" w:space="0" w:color="auto"/>
              <w:bottom w:val="single" w:sz="4" w:space="0" w:color="auto"/>
              <w:right w:val="single" w:sz="4" w:space="0" w:color="auto"/>
            </w:tcBorders>
            <w:shd w:val="clear" w:color="auto" w:fill="auto"/>
            <w:noWrap/>
            <w:vAlign w:val="center"/>
            <w:hideMark/>
          </w:tcPr>
          <w:p w:rsidR="00BF309F" w:rsidRPr="00343034" w:rsidRDefault="00BF309F" w:rsidP="00343034">
            <w:pPr>
              <w:spacing w:after="0"/>
              <w:rPr>
                <w:rFonts w:ascii="Times New Roman" w:eastAsia="Times New Roman" w:hAnsi="Times New Roman"/>
                <w:sz w:val="24"/>
                <w:szCs w:val="24"/>
              </w:rPr>
            </w:pPr>
            <w:r w:rsidRPr="00343034">
              <w:rPr>
                <w:rFonts w:ascii="Times New Roman" w:eastAsia="Times New Roman" w:hAnsi="Times New Roman"/>
                <w:sz w:val="24"/>
                <w:szCs w:val="24"/>
              </w:rPr>
              <w:t xml:space="preserve">MBS II </w:t>
            </w:r>
            <w:r w:rsidR="00BE3491" w:rsidRPr="00343034">
              <w:rPr>
                <w:rFonts w:ascii="Times New Roman" w:eastAsia="Times New Roman" w:hAnsi="Times New Roman"/>
                <w:sz w:val="24"/>
                <w:szCs w:val="24"/>
              </w:rPr>
              <w:t>Semester</w:t>
            </w:r>
          </w:p>
        </w:tc>
        <w:tc>
          <w:tcPr>
            <w:tcW w:w="724" w:type="pct"/>
            <w:tcBorders>
              <w:top w:val="nil"/>
              <w:left w:val="nil"/>
              <w:bottom w:val="single" w:sz="4" w:space="0" w:color="auto"/>
              <w:right w:val="single" w:sz="4" w:space="0" w:color="auto"/>
            </w:tcBorders>
            <w:shd w:val="clear" w:color="auto" w:fill="auto"/>
            <w:noWrap/>
            <w:vAlign w:val="center"/>
            <w:hideMark/>
          </w:tcPr>
          <w:p w:rsidR="00BF309F" w:rsidRPr="00343034" w:rsidRDefault="00BF309F"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32</w:t>
            </w:r>
          </w:p>
        </w:tc>
        <w:tc>
          <w:tcPr>
            <w:tcW w:w="1338" w:type="pct"/>
            <w:tcBorders>
              <w:top w:val="nil"/>
              <w:left w:val="nil"/>
              <w:bottom w:val="single" w:sz="4" w:space="0" w:color="auto"/>
              <w:right w:val="single" w:sz="4" w:space="0" w:color="auto"/>
            </w:tcBorders>
            <w:shd w:val="clear" w:color="auto" w:fill="auto"/>
            <w:noWrap/>
            <w:vAlign w:val="center"/>
            <w:hideMark/>
          </w:tcPr>
          <w:p w:rsidR="00BF309F" w:rsidRPr="00343034" w:rsidRDefault="00BF309F"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30</w:t>
            </w:r>
          </w:p>
        </w:tc>
        <w:tc>
          <w:tcPr>
            <w:tcW w:w="727" w:type="pct"/>
            <w:tcBorders>
              <w:top w:val="nil"/>
              <w:left w:val="nil"/>
              <w:bottom w:val="single" w:sz="4" w:space="0" w:color="auto"/>
              <w:right w:val="single" w:sz="4" w:space="0" w:color="auto"/>
            </w:tcBorders>
            <w:shd w:val="clear" w:color="auto" w:fill="auto"/>
            <w:noWrap/>
            <w:vAlign w:val="center"/>
            <w:hideMark/>
          </w:tcPr>
          <w:p w:rsidR="00BF309F" w:rsidRPr="00343034" w:rsidRDefault="00BF309F"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2</w:t>
            </w:r>
          </w:p>
        </w:tc>
        <w:tc>
          <w:tcPr>
            <w:tcW w:w="951" w:type="pct"/>
            <w:tcBorders>
              <w:top w:val="nil"/>
              <w:left w:val="nil"/>
              <w:bottom w:val="single" w:sz="4" w:space="0" w:color="auto"/>
              <w:right w:val="single" w:sz="4" w:space="0" w:color="auto"/>
            </w:tcBorders>
            <w:shd w:val="clear" w:color="auto" w:fill="auto"/>
            <w:noWrap/>
            <w:vAlign w:val="center"/>
            <w:hideMark/>
          </w:tcPr>
          <w:p w:rsidR="00BF309F" w:rsidRPr="00343034" w:rsidRDefault="00BF309F"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6.25</w:t>
            </w:r>
          </w:p>
        </w:tc>
      </w:tr>
      <w:tr w:rsidR="00BF309F" w:rsidRPr="00343034" w:rsidTr="00196DDC">
        <w:trPr>
          <w:trHeight w:val="405"/>
        </w:trPr>
        <w:tc>
          <w:tcPr>
            <w:tcW w:w="1260" w:type="pct"/>
            <w:tcBorders>
              <w:top w:val="nil"/>
              <w:left w:val="single" w:sz="4" w:space="0" w:color="auto"/>
              <w:bottom w:val="single" w:sz="4" w:space="0" w:color="auto"/>
              <w:right w:val="single" w:sz="4" w:space="0" w:color="auto"/>
            </w:tcBorders>
            <w:shd w:val="clear" w:color="auto" w:fill="auto"/>
            <w:noWrap/>
            <w:vAlign w:val="center"/>
            <w:hideMark/>
          </w:tcPr>
          <w:p w:rsidR="00BF309F" w:rsidRPr="00343034" w:rsidRDefault="00BF309F" w:rsidP="00343034">
            <w:pPr>
              <w:spacing w:after="0"/>
              <w:rPr>
                <w:rFonts w:ascii="Times New Roman" w:eastAsia="Times New Roman" w:hAnsi="Times New Roman"/>
                <w:sz w:val="24"/>
                <w:szCs w:val="24"/>
              </w:rPr>
            </w:pPr>
            <w:r w:rsidRPr="00343034">
              <w:rPr>
                <w:rFonts w:ascii="Times New Roman" w:eastAsia="Times New Roman" w:hAnsi="Times New Roman"/>
                <w:sz w:val="24"/>
                <w:szCs w:val="24"/>
              </w:rPr>
              <w:t xml:space="preserve">MA II </w:t>
            </w:r>
            <w:r w:rsidR="00BE3491" w:rsidRPr="00343034">
              <w:rPr>
                <w:rFonts w:ascii="Times New Roman" w:eastAsia="Times New Roman" w:hAnsi="Times New Roman"/>
                <w:sz w:val="24"/>
                <w:szCs w:val="24"/>
              </w:rPr>
              <w:t>Semester</w:t>
            </w:r>
          </w:p>
        </w:tc>
        <w:tc>
          <w:tcPr>
            <w:tcW w:w="724" w:type="pct"/>
            <w:tcBorders>
              <w:top w:val="nil"/>
              <w:left w:val="nil"/>
              <w:bottom w:val="single" w:sz="4" w:space="0" w:color="auto"/>
              <w:right w:val="single" w:sz="4" w:space="0" w:color="auto"/>
            </w:tcBorders>
            <w:shd w:val="clear" w:color="auto" w:fill="auto"/>
            <w:noWrap/>
            <w:vAlign w:val="center"/>
            <w:hideMark/>
          </w:tcPr>
          <w:p w:rsidR="00BF309F" w:rsidRPr="00343034" w:rsidRDefault="00BF309F"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31</w:t>
            </w:r>
          </w:p>
        </w:tc>
        <w:tc>
          <w:tcPr>
            <w:tcW w:w="1338" w:type="pct"/>
            <w:tcBorders>
              <w:top w:val="nil"/>
              <w:left w:val="nil"/>
              <w:bottom w:val="single" w:sz="4" w:space="0" w:color="auto"/>
              <w:right w:val="single" w:sz="4" w:space="0" w:color="auto"/>
            </w:tcBorders>
            <w:shd w:val="clear" w:color="auto" w:fill="auto"/>
            <w:noWrap/>
            <w:vAlign w:val="center"/>
            <w:hideMark/>
          </w:tcPr>
          <w:p w:rsidR="00BF309F" w:rsidRPr="00343034" w:rsidRDefault="00BF309F"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29</w:t>
            </w:r>
          </w:p>
        </w:tc>
        <w:tc>
          <w:tcPr>
            <w:tcW w:w="727" w:type="pct"/>
            <w:tcBorders>
              <w:top w:val="nil"/>
              <w:left w:val="nil"/>
              <w:bottom w:val="single" w:sz="4" w:space="0" w:color="auto"/>
              <w:right w:val="single" w:sz="4" w:space="0" w:color="auto"/>
            </w:tcBorders>
            <w:shd w:val="clear" w:color="auto" w:fill="auto"/>
            <w:noWrap/>
            <w:vAlign w:val="center"/>
            <w:hideMark/>
          </w:tcPr>
          <w:p w:rsidR="00BF309F" w:rsidRPr="00343034" w:rsidRDefault="00BF309F"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2</w:t>
            </w:r>
          </w:p>
        </w:tc>
        <w:tc>
          <w:tcPr>
            <w:tcW w:w="951" w:type="pct"/>
            <w:tcBorders>
              <w:top w:val="nil"/>
              <w:left w:val="nil"/>
              <w:bottom w:val="single" w:sz="4" w:space="0" w:color="auto"/>
              <w:right w:val="single" w:sz="4" w:space="0" w:color="auto"/>
            </w:tcBorders>
            <w:shd w:val="clear" w:color="auto" w:fill="auto"/>
            <w:noWrap/>
            <w:vAlign w:val="center"/>
            <w:hideMark/>
          </w:tcPr>
          <w:p w:rsidR="00BF309F" w:rsidRPr="00343034" w:rsidRDefault="00BF309F"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6.45</w:t>
            </w:r>
          </w:p>
        </w:tc>
      </w:tr>
      <w:tr w:rsidR="00BF309F" w:rsidRPr="00343034" w:rsidTr="00196DDC">
        <w:trPr>
          <w:trHeight w:val="405"/>
        </w:trPr>
        <w:tc>
          <w:tcPr>
            <w:tcW w:w="1260" w:type="pct"/>
            <w:tcBorders>
              <w:top w:val="nil"/>
              <w:left w:val="single" w:sz="4" w:space="0" w:color="auto"/>
              <w:bottom w:val="single" w:sz="4" w:space="0" w:color="auto"/>
              <w:right w:val="single" w:sz="4" w:space="0" w:color="auto"/>
            </w:tcBorders>
            <w:shd w:val="clear" w:color="auto" w:fill="auto"/>
            <w:noWrap/>
            <w:vAlign w:val="center"/>
            <w:hideMark/>
          </w:tcPr>
          <w:p w:rsidR="00BF309F" w:rsidRPr="00343034" w:rsidRDefault="00BF309F" w:rsidP="00343034">
            <w:pPr>
              <w:spacing w:after="0"/>
              <w:rPr>
                <w:rFonts w:ascii="Times New Roman" w:eastAsia="Times New Roman" w:hAnsi="Times New Roman"/>
                <w:sz w:val="24"/>
                <w:szCs w:val="24"/>
              </w:rPr>
            </w:pPr>
            <w:r w:rsidRPr="00343034">
              <w:rPr>
                <w:rFonts w:ascii="Times New Roman" w:eastAsia="Times New Roman" w:hAnsi="Times New Roman"/>
                <w:sz w:val="24"/>
                <w:szCs w:val="24"/>
              </w:rPr>
              <w:t xml:space="preserve">MA III </w:t>
            </w:r>
            <w:r w:rsidR="00BE3491" w:rsidRPr="00343034">
              <w:rPr>
                <w:rFonts w:ascii="Times New Roman" w:eastAsia="Times New Roman" w:hAnsi="Times New Roman"/>
                <w:sz w:val="24"/>
                <w:szCs w:val="24"/>
              </w:rPr>
              <w:t>Semester</w:t>
            </w:r>
          </w:p>
        </w:tc>
        <w:tc>
          <w:tcPr>
            <w:tcW w:w="724" w:type="pct"/>
            <w:tcBorders>
              <w:top w:val="nil"/>
              <w:left w:val="nil"/>
              <w:bottom w:val="single" w:sz="4" w:space="0" w:color="auto"/>
              <w:right w:val="single" w:sz="4" w:space="0" w:color="auto"/>
            </w:tcBorders>
            <w:shd w:val="clear" w:color="auto" w:fill="auto"/>
            <w:noWrap/>
            <w:vAlign w:val="center"/>
            <w:hideMark/>
          </w:tcPr>
          <w:p w:rsidR="00BF309F" w:rsidRPr="00343034" w:rsidRDefault="00BF309F"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29</w:t>
            </w:r>
          </w:p>
        </w:tc>
        <w:tc>
          <w:tcPr>
            <w:tcW w:w="1338" w:type="pct"/>
            <w:tcBorders>
              <w:top w:val="nil"/>
              <w:left w:val="nil"/>
              <w:bottom w:val="single" w:sz="4" w:space="0" w:color="auto"/>
              <w:right w:val="single" w:sz="4" w:space="0" w:color="auto"/>
            </w:tcBorders>
            <w:shd w:val="clear" w:color="auto" w:fill="auto"/>
            <w:noWrap/>
            <w:vAlign w:val="center"/>
            <w:hideMark/>
          </w:tcPr>
          <w:p w:rsidR="00BF309F" w:rsidRPr="00343034" w:rsidRDefault="00BF309F"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29</w:t>
            </w:r>
          </w:p>
        </w:tc>
        <w:tc>
          <w:tcPr>
            <w:tcW w:w="727" w:type="pct"/>
            <w:tcBorders>
              <w:top w:val="nil"/>
              <w:left w:val="nil"/>
              <w:bottom w:val="single" w:sz="4" w:space="0" w:color="auto"/>
              <w:right w:val="single" w:sz="4" w:space="0" w:color="auto"/>
            </w:tcBorders>
            <w:shd w:val="clear" w:color="auto" w:fill="auto"/>
            <w:noWrap/>
            <w:vAlign w:val="center"/>
            <w:hideMark/>
          </w:tcPr>
          <w:p w:rsidR="00BF309F" w:rsidRPr="00343034" w:rsidRDefault="00BF309F"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0</w:t>
            </w:r>
          </w:p>
        </w:tc>
        <w:tc>
          <w:tcPr>
            <w:tcW w:w="951" w:type="pct"/>
            <w:tcBorders>
              <w:top w:val="nil"/>
              <w:left w:val="nil"/>
              <w:bottom w:val="single" w:sz="4" w:space="0" w:color="auto"/>
              <w:right w:val="single" w:sz="4" w:space="0" w:color="auto"/>
            </w:tcBorders>
            <w:shd w:val="clear" w:color="auto" w:fill="auto"/>
            <w:noWrap/>
            <w:vAlign w:val="center"/>
            <w:hideMark/>
          </w:tcPr>
          <w:p w:rsidR="00BF309F" w:rsidRPr="00343034" w:rsidRDefault="00BF309F"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0.00</w:t>
            </w:r>
          </w:p>
        </w:tc>
      </w:tr>
      <w:tr w:rsidR="00BF309F" w:rsidRPr="00343034" w:rsidTr="00196DDC">
        <w:trPr>
          <w:trHeight w:val="405"/>
        </w:trPr>
        <w:tc>
          <w:tcPr>
            <w:tcW w:w="1260" w:type="pct"/>
            <w:tcBorders>
              <w:top w:val="nil"/>
              <w:left w:val="single" w:sz="4" w:space="0" w:color="auto"/>
              <w:bottom w:val="single" w:sz="4" w:space="0" w:color="auto"/>
              <w:right w:val="single" w:sz="4" w:space="0" w:color="auto"/>
            </w:tcBorders>
            <w:shd w:val="clear" w:color="auto" w:fill="auto"/>
            <w:noWrap/>
            <w:vAlign w:val="center"/>
            <w:hideMark/>
          </w:tcPr>
          <w:p w:rsidR="00BF309F" w:rsidRPr="00343034" w:rsidRDefault="00BF309F" w:rsidP="00343034">
            <w:pPr>
              <w:spacing w:after="0"/>
              <w:rPr>
                <w:rFonts w:ascii="Times New Roman" w:eastAsia="Times New Roman" w:hAnsi="Times New Roman"/>
                <w:sz w:val="24"/>
                <w:szCs w:val="24"/>
              </w:rPr>
            </w:pPr>
            <w:r w:rsidRPr="00343034">
              <w:rPr>
                <w:rFonts w:ascii="Times New Roman" w:eastAsia="Times New Roman" w:hAnsi="Times New Roman"/>
                <w:sz w:val="24"/>
                <w:szCs w:val="24"/>
              </w:rPr>
              <w:t xml:space="preserve">MA I </w:t>
            </w:r>
            <w:r w:rsidR="00BE3491" w:rsidRPr="00343034">
              <w:rPr>
                <w:rFonts w:ascii="Times New Roman" w:eastAsia="Times New Roman" w:hAnsi="Times New Roman"/>
                <w:sz w:val="24"/>
                <w:szCs w:val="24"/>
              </w:rPr>
              <w:t>Semester</w:t>
            </w:r>
          </w:p>
        </w:tc>
        <w:tc>
          <w:tcPr>
            <w:tcW w:w="724" w:type="pct"/>
            <w:tcBorders>
              <w:top w:val="nil"/>
              <w:left w:val="nil"/>
              <w:bottom w:val="single" w:sz="4" w:space="0" w:color="auto"/>
              <w:right w:val="single" w:sz="4" w:space="0" w:color="auto"/>
            </w:tcBorders>
            <w:shd w:val="clear" w:color="auto" w:fill="auto"/>
            <w:noWrap/>
            <w:vAlign w:val="center"/>
            <w:hideMark/>
          </w:tcPr>
          <w:p w:rsidR="00BF309F" w:rsidRPr="00343034" w:rsidRDefault="00BF309F"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35</w:t>
            </w:r>
          </w:p>
        </w:tc>
        <w:tc>
          <w:tcPr>
            <w:tcW w:w="1338" w:type="pct"/>
            <w:tcBorders>
              <w:top w:val="nil"/>
              <w:left w:val="nil"/>
              <w:bottom w:val="single" w:sz="4" w:space="0" w:color="auto"/>
              <w:right w:val="single" w:sz="4" w:space="0" w:color="auto"/>
            </w:tcBorders>
            <w:shd w:val="clear" w:color="auto" w:fill="auto"/>
            <w:noWrap/>
            <w:vAlign w:val="center"/>
            <w:hideMark/>
          </w:tcPr>
          <w:p w:rsidR="00BF309F" w:rsidRPr="00343034" w:rsidRDefault="00BF309F"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31</w:t>
            </w:r>
          </w:p>
        </w:tc>
        <w:tc>
          <w:tcPr>
            <w:tcW w:w="727" w:type="pct"/>
            <w:tcBorders>
              <w:top w:val="nil"/>
              <w:left w:val="nil"/>
              <w:bottom w:val="single" w:sz="4" w:space="0" w:color="auto"/>
              <w:right w:val="single" w:sz="4" w:space="0" w:color="auto"/>
            </w:tcBorders>
            <w:shd w:val="clear" w:color="auto" w:fill="auto"/>
            <w:noWrap/>
            <w:vAlign w:val="center"/>
            <w:hideMark/>
          </w:tcPr>
          <w:p w:rsidR="00BF309F" w:rsidRPr="00343034" w:rsidRDefault="00BF309F"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4</w:t>
            </w:r>
          </w:p>
        </w:tc>
        <w:tc>
          <w:tcPr>
            <w:tcW w:w="951" w:type="pct"/>
            <w:tcBorders>
              <w:top w:val="nil"/>
              <w:left w:val="nil"/>
              <w:bottom w:val="single" w:sz="4" w:space="0" w:color="auto"/>
              <w:right w:val="single" w:sz="4" w:space="0" w:color="auto"/>
            </w:tcBorders>
            <w:shd w:val="clear" w:color="auto" w:fill="auto"/>
            <w:noWrap/>
            <w:vAlign w:val="center"/>
            <w:hideMark/>
          </w:tcPr>
          <w:p w:rsidR="00BF309F" w:rsidRPr="00343034" w:rsidRDefault="00BF309F"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11.43</w:t>
            </w:r>
          </w:p>
        </w:tc>
      </w:tr>
      <w:tr w:rsidR="00BF309F" w:rsidRPr="00343034" w:rsidTr="00196DDC">
        <w:trPr>
          <w:trHeight w:val="405"/>
        </w:trPr>
        <w:tc>
          <w:tcPr>
            <w:tcW w:w="1260" w:type="pct"/>
            <w:tcBorders>
              <w:top w:val="nil"/>
              <w:left w:val="single" w:sz="4" w:space="0" w:color="auto"/>
              <w:bottom w:val="single" w:sz="4" w:space="0" w:color="auto"/>
              <w:right w:val="single" w:sz="4" w:space="0" w:color="auto"/>
            </w:tcBorders>
            <w:shd w:val="clear" w:color="auto" w:fill="auto"/>
            <w:noWrap/>
            <w:vAlign w:val="center"/>
            <w:hideMark/>
          </w:tcPr>
          <w:p w:rsidR="00BF309F" w:rsidRPr="00343034" w:rsidRDefault="00BE3491" w:rsidP="00343034">
            <w:pPr>
              <w:spacing w:after="0"/>
              <w:rPr>
                <w:rFonts w:ascii="Times New Roman" w:eastAsia="Times New Roman" w:hAnsi="Times New Roman"/>
                <w:sz w:val="24"/>
                <w:szCs w:val="24"/>
              </w:rPr>
            </w:pPr>
            <w:r w:rsidRPr="00343034">
              <w:rPr>
                <w:rFonts w:ascii="Times New Roman" w:eastAsia="Times New Roman" w:hAnsi="Times New Roman"/>
                <w:sz w:val="24"/>
                <w:szCs w:val="24"/>
              </w:rPr>
              <w:t>M.Ed. II Semester</w:t>
            </w:r>
          </w:p>
        </w:tc>
        <w:tc>
          <w:tcPr>
            <w:tcW w:w="724" w:type="pct"/>
            <w:tcBorders>
              <w:top w:val="nil"/>
              <w:left w:val="nil"/>
              <w:bottom w:val="single" w:sz="4" w:space="0" w:color="auto"/>
              <w:right w:val="single" w:sz="4" w:space="0" w:color="auto"/>
            </w:tcBorders>
            <w:shd w:val="clear" w:color="auto" w:fill="auto"/>
            <w:noWrap/>
            <w:vAlign w:val="center"/>
            <w:hideMark/>
          </w:tcPr>
          <w:p w:rsidR="00BF309F" w:rsidRPr="00343034" w:rsidRDefault="00BF309F"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6</w:t>
            </w:r>
          </w:p>
        </w:tc>
        <w:tc>
          <w:tcPr>
            <w:tcW w:w="1338" w:type="pct"/>
            <w:tcBorders>
              <w:top w:val="nil"/>
              <w:left w:val="nil"/>
              <w:bottom w:val="single" w:sz="4" w:space="0" w:color="auto"/>
              <w:right w:val="single" w:sz="4" w:space="0" w:color="auto"/>
            </w:tcBorders>
            <w:shd w:val="clear" w:color="auto" w:fill="auto"/>
            <w:noWrap/>
            <w:vAlign w:val="center"/>
            <w:hideMark/>
          </w:tcPr>
          <w:p w:rsidR="00BF309F" w:rsidRPr="00343034" w:rsidRDefault="00BF309F"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6</w:t>
            </w:r>
          </w:p>
        </w:tc>
        <w:tc>
          <w:tcPr>
            <w:tcW w:w="727" w:type="pct"/>
            <w:tcBorders>
              <w:top w:val="nil"/>
              <w:left w:val="nil"/>
              <w:bottom w:val="single" w:sz="4" w:space="0" w:color="auto"/>
              <w:right w:val="single" w:sz="4" w:space="0" w:color="auto"/>
            </w:tcBorders>
            <w:shd w:val="clear" w:color="auto" w:fill="auto"/>
            <w:noWrap/>
            <w:vAlign w:val="center"/>
            <w:hideMark/>
          </w:tcPr>
          <w:p w:rsidR="00BF309F" w:rsidRPr="00343034" w:rsidRDefault="00BF309F"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0</w:t>
            </w:r>
          </w:p>
        </w:tc>
        <w:tc>
          <w:tcPr>
            <w:tcW w:w="951" w:type="pct"/>
            <w:tcBorders>
              <w:top w:val="nil"/>
              <w:left w:val="nil"/>
              <w:bottom w:val="single" w:sz="4" w:space="0" w:color="auto"/>
              <w:right w:val="single" w:sz="4" w:space="0" w:color="auto"/>
            </w:tcBorders>
            <w:shd w:val="clear" w:color="auto" w:fill="auto"/>
            <w:noWrap/>
            <w:vAlign w:val="center"/>
            <w:hideMark/>
          </w:tcPr>
          <w:p w:rsidR="00BF309F" w:rsidRPr="00343034" w:rsidRDefault="00BF309F"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0.00</w:t>
            </w:r>
          </w:p>
        </w:tc>
      </w:tr>
      <w:tr w:rsidR="00BF309F" w:rsidRPr="00343034" w:rsidTr="00196DDC">
        <w:trPr>
          <w:trHeight w:val="405"/>
        </w:trPr>
        <w:tc>
          <w:tcPr>
            <w:tcW w:w="1260" w:type="pct"/>
            <w:tcBorders>
              <w:top w:val="nil"/>
              <w:left w:val="single" w:sz="4" w:space="0" w:color="auto"/>
              <w:bottom w:val="single" w:sz="4" w:space="0" w:color="auto"/>
              <w:right w:val="single" w:sz="4" w:space="0" w:color="auto"/>
            </w:tcBorders>
            <w:shd w:val="clear" w:color="auto" w:fill="auto"/>
            <w:noWrap/>
            <w:vAlign w:val="center"/>
            <w:hideMark/>
          </w:tcPr>
          <w:p w:rsidR="00BF309F" w:rsidRPr="00343034" w:rsidRDefault="00BF309F" w:rsidP="00343034">
            <w:pPr>
              <w:spacing w:after="0"/>
              <w:rPr>
                <w:rFonts w:ascii="Times New Roman" w:eastAsia="Times New Roman" w:hAnsi="Times New Roman"/>
                <w:b/>
                <w:bCs/>
                <w:sz w:val="24"/>
                <w:szCs w:val="24"/>
              </w:rPr>
            </w:pPr>
            <w:r w:rsidRPr="00343034">
              <w:rPr>
                <w:rFonts w:ascii="Times New Roman" w:eastAsia="Times New Roman" w:hAnsi="Times New Roman"/>
                <w:b/>
                <w:bCs/>
                <w:sz w:val="24"/>
                <w:szCs w:val="24"/>
              </w:rPr>
              <w:t>Total</w:t>
            </w:r>
          </w:p>
        </w:tc>
        <w:tc>
          <w:tcPr>
            <w:tcW w:w="724" w:type="pct"/>
            <w:tcBorders>
              <w:top w:val="nil"/>
              <w:left w:val="nil"/>
              <w:bottom w:val="single" w:sz="4" w:space="0" w:color="auto"/>
              <w:right w:val="single" w:sz="4" w:space="0" w:color="auto"/>
            </w:tcBorders>
            <w:shd w:val="clear" w:color="auto" w:fill="auto"/>
            <w:noWrap/>
            <w:vAlign w:val="center"/>
            <w:hideMark/>
          </w:tcPr>
          <w:p w:rsidR="00BF309F" w:rsidRPr="00343034" w:rsidRDefault="00BF309F" w:rsidP="00343034">
            <w:pPr>
              <w:spacing w:after="0"/>
              <w:jc w:val="center"/>
              <w:rPr>
                <w:rFonts w:ascii="Times New Roman" w:eastAsia="Times New Roman" w:hAnsi="Times New Roman"/>
                <w:b/>
                <w:bCs/>
                <w:sz w:val="24"/>
                <w:szCs w:val="24"/>
              </w:rPr>
            </w:pPr>
            <w:r w:rsidRPr="00343034">
              <w:rPr>
                <w:rFonts w:ascii="Times New Roman" w:eastAsia="Times New Roman" w:hAnsi="Times New Roman"/>
                <w:b/>
                <w:bCs/>
                <w:sz w:val="24"/>
                <w:szCs w:val="24"/>
              </w:rPr>
              <w:t>1891</w:t>
            </w:r>
          </w:p>
        </w:tc>
        <w:tc>
          <w:tcPr>
            <w:tcW w:w="1338" w:type="pct"/>
            <w:tcBorders>
              <w:top w:val="nil"/>
              <w:left w:val="nil"/>
              <w:bottom w:val="single" w:sz="4" w:space="0" w:color="auto"/>
              <w:right w:val="single" w:sz="4" w:space="0" w:color="auto"/>
            </w:tcBorders>
            <w:shd w:val="clear" w:color="auto" w:fill="auto"/>
            <w:noWrap/>
            <w:vAlign w:val="center"/>
            <w:hideMark/>
          </w:tcPr>
          <w:p w:rsidR="00BF309F" w:rsidRPr="00343034" w:rsidRDefault="00BF309F" w:rsidP="00343034">
            <w:pPr>
              <w:spacing w:after="0"/>
              <w:jc w:val="center"/>
              <w:rPr>
                <w:rFonts w:ascii="Times New Roman" w:eastAsia="Times New Roman" w:hAnsi="Times New Roman"/>
                <w:b/>
                <w:bCs/>
                <w:sz w:val="24"/>
                <w:szCs w:val="24"/>
              </w:rPr>
            </w:pPr>
            <w:r w:rsidRPr="00343034">
              <w:rPr>
                <w:rFonts w:ascii="Times New Roman" w:eastAsia="Times New Roman" w:hAnsi="Times New Roman"/>
                <w:b/>
                <w:bCs/>
                <w:sz w:val="24"/>
                <w:szCs w:val="24"/>
              </w:rPr>
              <w:t>1499</w:t>
            </w:r>
          </w:p>
        </w:tc>
        <w:tc>
          <w:tcPr>
            <w:tcW w:w="727" w:type="pct"/>
            <w:tcBorders>
              <w:top w:val="nil"/>
              <w:left w:val="nil"/>
              <w:bottom w:val="single" w:sz="4" w:space="0" w:color="auto"/>
              <w:right w:val="single" w:sz="4" w:space="0" w:color="auto"/>
            </w:tcBorders>
            <w:shd w:val="clear" w:color="auto" w:fill="auto"/>
            <w:noWrap/>
            <w:vAlign w:val="center"/>
            <w:hideMark/>
          </w:tcPr>
          <w:p w:rsidR="00BF309F" w:rsidRPr="00343034" w:rsidRDefault="00BF309F" w:rsidP="00343034">
            <w:pPr>
              <w:spacing w:after="0"/>
              <w:jc w:val="center"/>
              <w:rPr>
                <w:rFonts w:ascii="Times New Roman" w:eastAsia="Times New Roman" w:hAnsi="Times New Roman"/>
                <w:b/>
                <w:bCs/>
                <w:sz w:val="24"/>
                <w:szCs w:val="24"/>
              </w:rPr>
            </w:pPr>
            <w:r w:rsidRPr="00343034">
              <w:rPr>
                <w:rFonts w:ascii="Times New Roman" w:eastAsia="Times New Roman" w:hAnsi="Times New Roman"/>
                <w:b/>
                <w:bCs/>
                <w:sz w:val="24"/>
                <w:szCs w:val="24"/>
              </w:rPr>
              <w:t>392</w:t>
            </w:r>
          </w:p>
        </w:tc>
        <w:tc>
          <w:tcPr>
            <w:tcW w:w="951" w:type="pct"/>
            <w:tcBorders>
              <w:top w:val="nil"/>
              <w:left w:val="nil"/>
              <w:bottom w:val="single" w:sz="4" w:space="0" w:color="auto"/>
              <w:right w:val="single" w:sz="4" w:space="0" w:color="auto"/>
            </w:tcBorders>
            <w:shd w:val="clear" w:color="auto" w:fill="auto"/>
            <w:noWrap/>
            <w:vAlign w:val="center"/>
            <w:hideMark/>
          </w:tcPr>
          <w:p w:rsidR="00BF309F" w:rsidRPr="00343034" w:rsidRDefault="00BF309F" w:rsidP="00343034">
            <w:pPr>
              <w:spacing w:after="0"/>
              <w:jc w:val="center"/>
              <w:rPr>
                <w:rFonts w:ascii="Times New Roman" w:eastAsia="Times New Roman" w:hAnsi="Times New Roman"/>
                <w:b/>
                <w:bCs/>
                <w:sz w:val="24"/>
                <w:szCs w:val="24"/>
              </w:rPr>
            </w:pPr>
            <w:r w:rsidRPr="00343034">
              <w:rPr>
                <w:rFonts w:ascii="Times New Roman" w:eastAsia="Times New Roman" w:hAnsi="Times New Roman"/>
                <w:b/>
                <w:bCs/>
                <w:sz w:val="24"/>
                <w:szCs w:val="24"/>
              </w:rPr>
              <w:t>20.73</w:t>
            </w:r>
          </w:p>
        </w:tc>
      </w:tr>
    </w:tbl>
    <w:p w:rsidR="00241448" w:rsidRPr="00343034" w:rsidRDefault="00241448" w:rsidP="00343034">
      <w:pPr>
        <w:pStyle w:val="NormalWeb"/>
        <w:spacing w:before="0" w:beforeAutospacing="0" w:after="0" w:afterAutospacing="0" w:line="276" w:lineRule="auto"/>
        <w:jc w:val="both"/>
      </w:pPr>
      <w:r w:rsidRPr="00343034">
        <w:t>Source: EMIS; 2023</w:t>
      </w:r>
    </w:p>
    <w:p w:rsidR="00BF309F" w:rsidRPr="00343034" w:rsidRDefault="00BF309F" w:rsidP="00343034">
      <w:pPr>
        <w:spacing w:after="0"/>
        <w:jc w:val="both"/>
        <w:rPr>
          <w:rFonts w:ascii="Times New Roman" w:hAnsi="Times New Roman"/>
          <w:b/>
          <w:sz w:val="24"/>
          <w:szCs w:val="24"/>
        </w:rPr>
      </w:pPr>
      <w:r w:rsidRPr="00343034">
        <w:rPr>
          <w:rFonts w:ascii="Times New Roman" w:hAnsi="Times New Roman"/>
          <w:b/>
          <w:sz w:val="24"/>
          <w:szCs w:val="24"/>
        </w:rPr>
        <w:t xml:space="preserve">Class wise Student Enrollment, Exam Appearance and Dropout Rate at academic year, </w:t>
      </w:r>
      <w:r w:rsidR="002F452B" w:rsidRPr="00343034">
        <w:rPr>
          <w:rFonts w:ascii="Times New Roman" w:hAnsi="Times New Roman"/>
          <w:b/>
          <w:sz w:val="24"/>
          <w:szCs w:val="24"/>
        </w:rPr>
        <w:t>2022</w:t>
      </w:r>
    </w:p>
    <w:p w:rsidR="003B577D" w:rsidRPr="00343034" w:rsidRDefault="003B577D" w:rsidP="00343034">
      <w:pPr>
        <w:pStyle w:val="NormalWeb"/>
        <w:spacing w:before="0" w:beforeAutospacing="0" w:after="0" w:afterAutospacing="0" w:line="276" w:lineRule="auto"/>
        <w:jc w:val="both"/>
      </w:pPr>
      <w:r w:rsidRPr="00343034">
        <w:t>The data on student dro</w:t>
      </w:r>
      <w:r w:rsidR="002F452B" w:rsidRPr="00343034">
        <w:t>pouts for the academic year 2022</w:t>
      </w:r>
      <w:r w:rsidRPr="00343034">
        <w:t xml:space="preserve"> provides a detailed overview of student retention at Baneshwor Multiple Campus across different academic levels. The analysis shows that there were a total of 1714 students enrolled, with 1378 students appearing for examinations. The overall dro</w:t>
      </w:r>
      <w:r w:rsidR="00263450" w:rsidRPr="00343034">
        <w:t>pout rate for the year is 19.60 Percent</w:t>
      </w:r>
      <w:r w:rsidRPr="00343034">
        <w:t>, which indicates a significant but manageable challenge in keeping students engaged.</w:t>
      </w:r>
    </w:p>
    <w:p w:rsidR="003B577D" w:rsidRPr="00343034" w:rsidRDefault="003B577D" w:rsidP="00343034">
      <w:pPr>
        <w:pStyle w:val="NormalWeb"/>
        <w:spacing w:before="0" w:beforeAutospacing="0" w:after="0" w:afterAutospacing="0" w:line="276" w:lineRule="auto"/>
        <w:jc w:val="both"/>
      </w:pPr>
      <w:r w:rsidRPr="00343034">
        <w:t>At the undergraduate level, the dropout rates for B</w:t>
      </w:r>
      <w:r w:rsidR="002F452B" w:rsidRPr="00343034">
        <w:t>.Ed. 2</w:t>
      </w:r>
      <w:r w:rsidR="002F452B" w:rsidRPr="00343034">
        <w:rPr>
          <w:vertAlign w:val="superscript"/>
        </w:rPr>
        <w:t>nd</w:t>
      </w:r>
      <w:r w:rsidR="002F452B" w:rsidRPr="00343034">
        <w:t xml:space="preserve">, </w:t>
      </w:r>
      <w:r w:rsidRPr="00343034">
        <w:t xml:space="preserve">BBS </w:t>
      </w:r>
      <w:r w:rsidR="00263450" w:rsidRPr="00343034">
        <w:t>2</w:t>
      </w:r>
      <w:r w:rsidR="00263450" w:rsidRPr="00343034">
        <w:rPr>
          <w:vertAlign w:val="superscript"/>
        </w:rPr>
        <w:t>nd</w:t>
      </w:r>
      <w:r w:rsidR="002F452B" w:rsidRPr="00343034">
        <w:t xml:space="preserve"> and BA 2</w:t>
      </w:r>
      <w:r w:rsidR="002F452B" w:rsidRPr="00343034">
        <w:rPr>
          <w:vertAlign w:val="superscript"/>
        </w:rPr>
        <w:t>nd</w:t>
      </w:r>
      <w:r w:rsidR="002F452B" w:rsidRPr="00343034">
        <w:t xml:space="preserve"> year</w:t>
      </w:r>
      <w:r w:rsidR="00263450" w:rsidRPr="00343034">
        <w:t xml:space="preserve"> are </w:t>
      </w:r>
      <w:r w:rsidR="002F452B" w:rsidRPr="00343034">
        <w:t>higher, at 40.50</w:t>
      </w:r>
      <w:r w:rsidR="00263450" w:rsidRPr="00343034">
        <w:t xml:space="preserve"> Percent</w:t>
      </w:r>
      <w:r w:rsidR="002F452B" w:rsidRPr="00343034">
        <w:t xml:space="preserve">, </w:t>
      </w:r>
      <w:r w:rsidR="00263450" w:rsidRPr="00343034">
        <w:t>39.16 Percent</w:t>
      </w:r>
      <w:r w:rsidRPr="00343034">
        <w:t xml:space="preserve"> </w:t>
      </w:r>
      <w:r w:rsidR="002F452B" w:rsidRPr="00343034">
        <w:t xml:space="preserve">and 32.60 percent </w:t>
      </w:r>
      <w:r w:rsidRPr="00343034">
        <w:t xml:space="preserve">respectively. These levels seem to be more susceptible to attrition, suggesting potential challenges or factors that affect students' progression in these stages of their academic programs. On the other hand, </w:t>
      </w:r>
      <w:r w:rsidR="002F452B" w:rsidRPr="00343034">
        <w:t>B.Ed. 1</w:t>
      </w:r>
      <w:r w:rsidR="002F452B" w:rsidRPr="00343034">
        <w:rPr>
          <w:vertAlign w:val="superscript"/>
        </w:rPr>
        <w:t>st</w:t>
      </w:r>
      <w:r w:rsidR="002F452B" w:rsidRPr="00343034">
        <w:t xml:space="preserve">, </w:t>
      </w:r>
      <w:r w:rsidRPr="00343034">
        <w:t>BA 1</w:t>
      </w:r>
      <w:r w:rsidR="002F452B" w:rsidRPr="00343034">
        <w:t>st and BBS 1st year</w:t>
      </w:r>
      <w:r w:rsidRPr="00343034">
        <w:t xml:space="preserve"> have relative</w:t>
      </w:r>
      <w:r w:rsidR="00263450" w:rsidRPr="00343034">
        <w:t xml:space="preserve">ly lower dropout rates, at </w:t>
      </w:r>
      <w:r w:rsidR="002F452B" w:rsidRPr="00343034">
        <w:t xml:space="preserve">3.30 percent, </w:t>
      </w:r>
      <w:r w:rsidR="00263450" w:rsidRPr="00343034">
        <w:t>9.76 Percent and 11.68 Percent</w:t>
      </w:r>
      <w:r w:rsidRPr="00343034">
        <w:t xml:space="preserve"> respectively, indicating a higher level of student retention in the initial phases.</w:t>
      </w:r>
    </w:p>
    <w:p w:rsidR="003B577D" w:rsidRPr="00343034" w:rsidRDefault="003B577D" w:rsidP="00343034">
      <w:pPr>
        <w:pStyle w:val="NormalWeb"/>
        <w:spacing w:before="0" w:beforeAutospacing="0" w:after="0" w:afterAutospacing="0" w:line="276" w:lineRule="auto"/>
        <w:jc w:val="both"/>
      </w:pPr>
      <w:r w:rsidRPr="00343034">
        <w:t>The B.Ed. 2nd level stands out with a su</w:t>
      </w:r>
      <w:r w:rsidR="00263450" w:rsidRPr="00343034">
        <w:t>bstantial dropout rate of 40.50 Percent</w:t>
      </w:r>
      <w:r w:rsidRPr="00343034">
        <w:t>, indicating specific challenges in this stage of the B.Ed. program</w:t>
      </w:r>
      <w:r w:rsidR="00014951" w:rsidRPr="00343034">
        <w:t xml:space="preserve"> followed by BBS and BA 2</w:t>
      </w:r>
      <w:r w:rsidR="00014951" w:rsidRPr="00343034">
        <w:rPr>
          <w:vertAlign w:val="superscript"/>
        </w:rPr>
        <w:t>nd</w:t>
      </w:r>
      <w:r w:rsidR="00014951" w:rsidRPr="00343034">
        <w:t xml:space="preserve"> year</w:t>
      </w:r>
      <w:r w:rsidRPr="00343034">
        <w:t xml:space="preserve">. It is crucial to focus on understanding and addressing the factors that contribute to this higher attrition rate. </w:t>
      </w:r>
    </w:p>
    <w:p w:rsidR="003B577D" w:rsidRPr="00343034" w:rsidRDefault="005700FC" w:rsidP="00343034">
      <w:pPr>
        <w:pStyle w:val="NormalWeb"/>
        <w:spacing w:before="0" w:beforeAutospacing="0" w:after="0" w:afterAutospacing="0" w:line="276" w:lineRule="auto"/>
        <w:jc w:val="both"/>
      </w:pPr>
      <w:r w:rsidRPr="00343034">
        <w:t>In general, master</w:t>
      </w:r>
      <w:r w:rsidR="003B577D" w:rsidRPr="00343034">
        <w:t xml:space="preserve"> programs have lo</w:t>
      </w:r>
      <w:r w:rsidR="00D562F0" w:rsidRPr="00343034">
        <w:t>wer dropout rates, with MBS II s</w:t>
      </w:r>
      <w:r w:rsidR="003B577D" w:rsidRPr="00343034">
        <w:t>emeste</w:t>
      </w:r>
      <w:r w:rsidRPr="00343034">
        <w:t xml:space="preserve">r, </w:t>
      </w:r>
      <w:r w:rsidR="00D562F0" w:rsidRPr="00343034">
        <w:t>MBS III s</w:t>
      </w:r>
      <w:r w:rsidR="00385984" w:rsidRPr="00343034">
        <w:t>emester, M. Ed. IV</w:t>
      </w:r>
      <w:r w:rsidR="003B577D" w:rsidRPr="00343034">
        <w:t xml:space="preserve"> and MA II</w:t>
      </w:r>
      <w:r w:rsidR="00385984" w:rsidRPr="00343034">
        <w:t>I s</w:t>
      </w:r>
      <w:r w:rsidR="003B577D" w:rsidRPr="00343034">
        <w:t>emester reporting zero dropout</w:t>
      </w:r>
      <w:r w:rsidR="00D562F0" w:rsidRPr="00343034">
        <w:t>s. MBS I s</w:t>
      </w:r>
      <w:r w:rsidR="003B577D" w:rsidRPr="00343034">
        <w:t>eme</w:t>
      </w:r>
      <w:r w:rsidR="00D562F0" w:rsidRPr="00343034">
        <w:t>ster, MA I s</w:t>
      </w:r>
      <w:r w:rsidR="00385984" w:rsidRPr="00343034">
        <w:t>emester, and MA II s</w:t>
      </w:r>
      <w:r w:rsidR="003B577D" w:rsidRPr="00343034">
        <w:t xml:space="preserve">emester have modest </w:t>
      </w:r>
      <w:r w:rsidR="00263450" w:rsidRPr="00343034">
        <w:t>dropout rates ranging from 2.22 Percent to 4.76 Percent</w:t>
      </w:r>
      <w:r w:rsidR="003B577D" w:rsidRPr="00343034">
        <w:t>.</w:t>
      </w:r>
    </w:p>
    <w:p w:rsidR="003B577D" w:rsidRPr="00343034" w:rsidRDefault="003B577D" w:rsidP="00343034">
      <w:pPr>
        <w:pStyle w:val="NormalWeb"/>
        <w:spacing w:before="0" w:beforeAutospacing="0" w:after="0" w:afterAutospacing="0" w:line="276" w:lineRule="auto"/>
        <w:jc w:val="both"/>
      </w:pPr>
      <w:r w:rsidRPr="00343034">
        <w:t>Overall, the analysis underscores the importance of addressing challenges specific to certain academic levels, particularly BA 2</w:t>
      </w:r>
      <w:r w:rsidRPr="00343034">
        <w:rPr>
          <w:vertAlign w:val="superscript"/>
        </w:rPr>
        <w:t>nd</w:t>
      </w:r>
      <w:r w:rsidRPr="00343034">
        <w:t>, BBS 2</w:t>
      </w:r>
      <w:r w:rsidRPr="00343034">
        <w:rPr>
          <w:vertAlign w:val="superscript"/>
        </w:rPr>
        <w:t>nd</w:t>
      </w:r>
      <w:r w:rsidRPr="00343034">
        <w:t>, and B.Ed. 2</w:t>
      </w:r>
      <w:r w:rsidRPr="00343034">
        <w:rPr>
          <w:vertAlign w:val="superscript"/>
        </w:rPr>
        <w:t>nd</w:t>
      </w:r>
      <w:r w:rsidR="00B02AF9" w:rsidRPr="00343034">
        <w:t xml:space="preserve"> year</w:t>
      </w:r>
      <w:r w:rsidRPr="00343034">
        <w:t>. Understanding the factors that contribute to higher dropout rates in these stages will enable the implementation of targeted strategies to improve student retention. The data also highlights the need for ongoing monitoring an</w:t>
      </w:r>
      <w:r w:rsidR="00263450" w:rsidRPr="00343034">
        <w:t xml:space="preserve">d support to create a conducive </w:t>
      </w:r>
      <w:r w:rsidRPr="00343034">
        <w:t>academic environment and enhance overall student success at Baneshwor Multiple Campus.</w:t>
      </w:r>
    </w:p>
    <w:p w:rsidR="007264DD" w:rsidRPr="00343034" w:rsidRDefault="000720A0" w:rsidP="00343034">
      <w:pPr>
        <w:pStyle w:val="NormalWeb"/>
        <w:spacing w:before="0" w:beforeAutospacing="0" w:after="0" w:afterAutospacing="0" w:line="276" w:lineRule="auto"/>
        <w:jc w:val="center"/>
        <w:rPr>
          <w:b/>
        </w:rPr>
      </w:pPr>
      <w:r w:rsidRPr="00343034">
        <w:rPr>
          <w:b/>
        </w:rPr>
        <w:br w:type="page"/>
      </w:r>
      <w:r w:rsidR="007264DD" w:rsidRPr="00343034">
        <w:rPr>
          <w:b/>
        </w:rPr>
        <w:t>Table 3</w:t>
      </w:r>
    </w:p>
    <w:p w:rsidR="000D5968" w:rsidRPr="00343034" w:rsidRDefault="000D5968" w:rsidP="00343034">
      <w:pPr>
        <w:pStyle w:val="NormalWeb"/>
        <w:spacing w:before="0" w:beforeAutospacing="0" w:after="0" w:afterAutospacing="0" w:line="276" w:lineRule="auto"/>
        <w:jc w:val="center"/>
        <w:rPr>
          <w:b/>
        </w:rPr>
      </w:pPr>
      <w:r w:rsidRPr="00343034">
        <w:rPr>
          <w:b/>
        </w:rPr>
        <w:t>Students Enrollment an</w:t>
      </w:r>
      <w:r w:rsidR="00896F59" w:rsidRPr="00343034">
        <w:rPr>
          <w:b/>
        </w:rPr>
        <w:t>d Dropout Status of Campus, 2022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963"/>
        <w:gridCol w:w="1703"/>
        <w:gridCol w:w="1781"/>
        <w:gridCol w:w="1729"/>
        <w:gridCol w:w="1843"/>
      </w:tblGrid>
      <w:tr w:rsidR="00063C10" w:rsidRPr="00343034" w:rsidTr="006E280D">
        <w:trPr>
          <w:trHeight w:val="375"/>
        </w:trPr>
        <w:tc>
          <w:tcPr>
            <w:tcW w:w="1043"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 xml:space="preserve">Level </w:t>
            </w:r>
          </w:p>
        </w:tc>
        <w:tc>
          <w:tcPr>
            <w:tcW w:w="975"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Enroll</w:t>
            </w:r>
            <w:r w:rsidR="00896F59" w:rsidRPr="00343034">
              <w:rPr>
                <w:rFonts w:ascii="Times New Roman" w:eastAsia="Times New Roman" w:hAnsi="Times New Roman"/>
                <w:sz w:val="24"/>
                <w:szCs w:val="24"/>
              </w:rPr>
              <w:t>ment</w:t>
            </w:r>
            <w:r w:rsidRPr="00343034">
              <w:rPr>
                <w:rFonts w:ascii="Times New Roman" w:eastAsia="Times New Roman" w:hAnsi="Times New Roman"/>
                <w:sz w:val="24"/>
                <w:szCs w:val="24"/>
              </w:rPr>
              <w:t xml:space="preserve"> </w:t>
            </w:r>
          </w:p>
        </w:tc>
        <w:tc>
          <w:tcPr>
            <w:tcW w:w="1018"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 xml:space="preserve">Exam appeared </w:t>
            </w:r>
          </w:p>
        </w:tc>
        <w:tc>
          <w:tcPr>
            <w:tcW w:w="989"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 xml:space="preserve">Dropout </w:t>
            </w:r>
          </w:p>
        </w:tc>
        <w:tc>
          <w:tcPr>
            <w:tcW w:w="974"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 xml:space="preserve">Dropout </w:t>
            </w:r>
            <w:r w:rsidR="007264DD" w:rsidRPr="00343034">
              <w:rPr>
                <w:rFonts w:ascii="Times New Roman" w:eastAsia="Times New Roman" w:hAnsi="Times New Roman"/>
                <w:sz w:val="24"/>
                <w:szCs w:val="24"/>
              </w:rPr>
              <w:t>per cent</w:t>
            </w:r>
          </w:p>
        </w:tc>
      </w:tr>
      <w:tr w:rsidR="00753D58" w:rsidRPr="00343034" w:rsidTr="006E280D">
        <w:trPr>
          <w:trHeight w:val="375"/>
        </w:trPr>
        <w:tc>
          <w:tcPr>
            <w:tcW w:w="1043"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 xml:space="preserve">BA 1st </w:t>
            </w:r>
          </w:p>
        </w:tc>
        <w:tc>
          <w:tcPr>
            <w:tcW w:w="975"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123</w:t>
            </w:r>
          </w:p>
        </w:tc>
        <w:tc>
          <w:tcPr>
            <w:tcW w:w="1018"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111</w:t>
            </w:r>
          </w:p>
        </w:tc>
        <w:tc>
          <w:tcPr>
            <w:tcW w:w="989"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12</w:t>
            </w:r>
          </w:p>
        </w:tc>
        <w:tc>
          <w:tcPr>
            <w:tcW w:w="974"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9.76</w:t>
            </w:r>
          </w:p>
        </w:tc>
      </w:tr>
      <w:tr w:rsidR="00063C10" w:rsidRPr="00343034" w:rsidTr="006E280D">
        <w:trPr>
          <w:trHeight w:val="375"/>
        </w:trPr>
        <w:tc>
          <w:tcPr>
            <w:tcW w:w="1043"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 xml:space="preserve">BA 2nd </w:t>
            </w:r>
          </w:p>
        </w:tc>
        <w:tc>
          <w:tcPr>
            <w:tcW w:w="975"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181</w:t>
            </w:r>
          </w:p>
        </w:tc>
        <w:tc>
          <w:tcPr>
            <w:tcW w:w="1018"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122</w:t>
            </w:r>
          </w:p>
        </w:tc>
        <w:tc>
          <w:tcPr>
            <w:tcW w:w="989"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59</w:t>
            </w:r>
          </w:p>
        </w:tc>
        <w:tc>
          <w:tcPr>
            <w:tcW w:w="974"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32.6</w:t>
            </w:r>
            <w:r w:rsidR="00896F59" w:rsidRPr="00343034">
              <w:rPr>
                <w:rFonts w:ascii="Times New Roman" w:eastAsia="Times New Roman" w:hAnsi="Times New Roman"/>
                <w:sz w:val="24"/>
                <w:szCs w:val="24"/>
              </w:rPr>
              <w:t>0</w:t>
            </w:r>
          </w:p>
        </w:tc>
      </w:tr>
      <w:tr w:rsidR="00753D58" w:rsidRPr="00343034" w:rsidTr="006E280D">
        <w:trPr>
          <w:trHeight w:val="375"/>
        </w:trPr>
        <w:tc>
          <w:tcPr>
            <w:tcW w:w="1043"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 xml:space="preserve">BA 3rd </w:t>
            </w:r>
          </w:p>
        </w:tc>
        <w:tc>
          <w:tcPr>
            <w:tcW w:w="975"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145</w:t>
            </w:r>
          </w:p>
        </w:tc>
        <w:tc>
          <w:tcPr>
            <w:tcW w:w="1018"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130</w:t>
            </w:r>
          </w:p>
        </w:tc>
        <w:tc>
          <w:tcPr>
            <w:tcW w:w="989"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15</w:t>
            </w:r>
          </w:p>
        </w:tc>
        <w:tc>
          <w:tcPr>
            <w:tcW w:w="974"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10.34</w:t>
            </w:r>
          </w:p>
        </w:tc>
      </w:tr>
      <w:tr w:rsidR="00063C10" w:rsidRPr="00343034" w:rsidTr="006E280D">
        <w:trPr>
          <w:trHeight w:val="375"/>
        </w:trPr>
        <w:tc>
          <w:tcPr>
            <w:tcW w:w="1043"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 xml:space="preserve">BBS 1st </w:t>
            </w:r>
          </w:p>
        </w:tc>
        <w:tc>
          <w:tcPr>
            <w:tcW w:w="975"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214</w:t>
            </w:r>
          </w:p>
        </w:tc>
        <w:tc>
          <w:tcPr>
            <w:tcW w:w="1018"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189</w:t>
            </w:r>
          </w:p>
        </w:tc>
        <w:tc>
          <w:tcPr>
            <w:tcW w:w="989"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25</w:t>
            </w:r>
          </w:p>
        </w:tc>
        <w:tc>
          <w:tcPr>
            <w:tcW w:w="974"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11.68</w:t>
            </w:r>
          </w:p>
        </w:tc>
      </w:tr>
      <w:tr w:rsidR="00753D58" w:rsidRPr="00343034" w:rsidTr="006E280D">
        <w:trPr>
          <w:trHeight w:val="375"/>
        </w:trPr>
        <w:tc>
          <w:tcPr>
            <w:tcW w:w="1043"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 xml:space="preserve">BBS 2nd </w:t>
            </w:r>
          </w:p>
        </w:tc>
        <w:tc>
          <w:tcPr>
            <w:tcW w:w="975"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286</w:t>
            </w:r>
          </w:p>
        </w:tc>
        <w:tc>
          <w:tcPr>
            <w:tcW w:w="1018"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174</w:t>
            </w:r>
          </w:p>
        </w:tc>
        <w:tc>
          <w:tcPr>
            <w:tcW w:w="989"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112</w:t>
            </w:r>
          </w:p>
        </w:tc>
        <w:tc>
          <w:tcPr>
            <w:tcW w:w="974"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39.16</w:t>
            </w:r>
          </w:p>
        </w:tc>
      </w:tr>
      <w:tr w:rsidR="00063C10" w:rsidRPr="00343034" w:rsidTr="006E280D">
        <w:trPr>
          <w:trHeight w:val="375"/>
        </w:trPr>
        <w:tc>
          <w:tcPr>
            <w:tcW w:w="1043"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 xml:space="preserve">BBS 3rd </w:t>
            </w:r>
          </w:p>
        </w:tc>
        <w:tc>
          <w:tcPr>
            <w:tcW w:w="975"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132</w:t>
            </w:r>
          </w:p>
        </w:tc>
        <w:tc>
          <w:tcPr>
            <w:tcW w:w="1018"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104</w:t>
            </w:r>
          </w:p>
        </w:tc>
        <w:tc>
          <w:tcPr>
            <w:tcW w:w="989"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28</w:t>
            </w:r>
          </w:p>
        </w:tc>
        <w:tc>
          <w:tcPr>
            <w:tcW w:w="974"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21.21</w:t>
            </w:r>
          </w:p>
        </w:tc>
      </w:tr>
      <w:tr w:rsidR="00753D58" w:rsidRPr="00343034" w:rsidTr="006E280D">
        <w:trPr>
          <w:trHeight w:val="375"/>
        </w:trPr>
        <w:tc>
          <w:tcPr>
            <w:tcW w:w="1043"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 xml:space="preserve">BBS 4th </w:t>
            </w:r>
          </w:p>
        </w:tc>
        <w:tc>
          <w:tcPr>
            <w:tcW w:w="975"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86</w:t>
            </w:r>
          </w:p>
        </w:tc>
        <w:tc>
          <w:tcPr>
            <w:tcW w:w="1018"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71</w:t>
            </w:r>
          </w:p>
        </w:tc>
        <w:tc>
          <w:tcPr>
            <w:tcW w:w="989"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15</w:t>
            </w:r>
          </w:p>
        </w:tc>
        <w:tc>
          <w:tcPr>
            <w:tcW w:w="974"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17.44</w:t>
            </w:r>
          </w:p>
        </w:tc>
      </w:tr>
      <w:tr w:rsidR="00063C10" w:rsidRPr="00343034" w:rsidTr="006E280D">
        <w:trPr>
          <w:trHeight w:val="375"/>
        </w:trPr>
        <w:tc>
          <w:tcPr>
            <w:tcW w:w="1043"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B.Ed</w:t>
            </w:r>
            <w:r w:rsidR="00236880" w:rsidRPr="00343034">
              <w:rPr>
                <w:rFonts w:ascii="Times New Roman" w:eastAsia="Times New Roman" w:hAnsi="Times New Roman"/>
                <w:sz w:val="24"/>
                <w:szCs w:val="24"/>
              </w:rPr>
              <w:t>.</w:t>
            </w:r>
            <w:r w:rsidRPr="00343034">
              <w:rPr>
                <w:rFonts w:ascii="Times New Roman" w:eastAsia="Times New Roman" w:hAnsi="Times New Roman"/>
                <w:sz w:val="24"/>
                <w:szCs w:val="24"/>
              </w:rPr>
              <w:t xml:space="preserve"> 1st </w:t>
            </w:r>
          </w:p>
        </w:tc>
        <w:tc>
          <w:tcPr>
            <w:tcW w:w="975"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91</w:t>
            </w:r>
          </w:p>
        </w:tc>
        <w:tc>
          <w:tcPr>
            <w:tcW w:w="1018"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88</w:t>
            </w:r>
          </w:p>
        </w:tc>
        <w:tc>
          <w:tcPr>
            <w:tcW w:w="989"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3</w:t>
            </w:r>
          </w:p>
        </w:tc>
        <w:tc>
          <w:tcPr>
            <w:tcW w:w="974"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3.3</w:t>
            </w:r>
            <w:r w:rsidR="00896F59" w:rsidRPr="00343034">
              <w:rPr>
                <w:rFonts w:ascii="Times New Roman" w:eastAsia="Times New Roman" w:hAnsi="Times New Roman"/>
                <w:sz w:val="24"/>
                <w:szCs w:val="24"/>
              </w:rPr>
              <w:t>0</w:t>
            </w:r>
          </w:p>
        </w:tc>
      </w:tr>
      <w:tr w:rsidR="00753D58" w:rsidRPr="00343034" w:rsidTr="006E280D">
        <w:trPr>
          <w:trHeight w:val="375"/>
        </w:trPr>
        <w:tc>
          <w:tcPr>
            <w:tcW w:w="1043"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B.Ed</w:t>
            </w:r>
            <w:r w:rsidR="00236880" w:rsidRPr="00343034">
              <w:rPr>
                <w:rFonts w:ascii="Times New Roman" w:eastAsia="Times New Roman" w:hAnsi="Times New Roman"/>
                <w:sz w:val="24"/>
                <w:szCs w:val="24"/>
              </w:rPr>
              <w:t>.</w:t>
            </w:r>
            <w:r w:rsidRPr="00343034">
              <w:rPr>
                <w:rFonts w:ascii="Times New Roman" w:eastAsia="Times New Roman" w:hAnsi="Times New Roman"/>
                <w:sz w:val="24"/>
                <w:szCs w:val="24"/>
              </w:rPr>
              <w:t xml:space="preserve"> 2nd </w:t>
            </w:r>
          </w:p>
        </w:tc>
        <w:tc>
          <w:tcPr>
            <w:tcW w:w="975"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121</w:t>
            </w:r>
          </w:p>
        </w:tc>
        <w:tc>
          <w:tcPr>
            <w:tcW w:w="1018"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72</w:t>
            </w:r>
          </w:p>
        </w:tc>
        <w:tc>
          <w:tcPr>
            <w:tcW w:w="989"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49</w:t>
            </w:r>
          </w:p>
        </w:tc>
        <w:tc>
          <w:tcPr>
            <w:tcW w:w="974"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40.5</w:t>
            </w:r>
            <w:r w:rsidR="00896F59" w:rsidRPr="00343034">
              <w:rPr>
                <w:rFonts w:ascii="Times New Roman" w:eastAsia="Times New Roman" w:hAnsi="Times New Roman"/>
                <w:sz w:val="24"/>
                <w:szCs w:val="24"/>
              </w:rPr>
              <w:t>0</w:t>
            </w:r>
          </w:p>
        </w:tc>
      </w:tr>
      <w:tr w:rsidR="00063C10" w:rsidRPr="00343034" w:rsidTr="006E280D">
        <w:trPr>
          <w:trHeight w:val="375"/>
        </w:trPr>
        <w:tc>
          <w:tcPr>
            <w:tcW w:w="1043"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B.Ed</w:t>
            </w:r>
            <w:r w:rsidR="00236880" w:rsidRPr="00343034">
              <w:rPr>
                <w:rFonts w:ascii="Times New Roman" w:eastAsia="Times New Roman" w:hAnsi="Times New Roman"/>
                <w:sz w:val="24"/>
                <w:szCs w:val="24"/>
              </w:rPr>
              <w:t>.</w:t>
            </w:r>
            <w:r w:rsidRPr="00343034">
              <w:rPr>
                <w:rFonts w:ascii="Times New Roman" w:eastAsia="Times New Roman" w:hAnsi="Times New Roman"/>
                <w:sz w:val="24"/>
                <w:szCs w:val="24"/>
              </w:rPr>
              <w:t xml:space="preserve"> 3rd </w:t>
            </w:r>
          </w:p>
        </w:tc>
        <w:tc>
          <w:tcPr>
            <w:tcW w:w="975"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73</w:t>
            </w:r>
          </w:p>
        </w:tc>
        <w:tc>
          <w:tcPr>
            <w:tcW w:w="1018"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65</w:t>
            </w:r>
          </w:p>
        </w:tc>
        <w:tc>
          <w:tcPr>
            <w:tcW w:w="989"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8</w:t>
            </w:r>
          </w:p>
        </w:tc>
        <w:tc>
          <w:tcPr>
            <w:tcW w:w="974"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10.96</w:t>
            </w:r>
          </w:p>
        </w:tc>
      </w:tr>
      <w:tr w:rsidR="00753D58" w:rsidRPr="00343034" w:rsidTr="006E280D">
        <w:trPr>
          <w:trHeight w:val="375"/>
        </w:trPr>
        <w:tc>
          <w:tcPr>
            <w:tcW w:w="1043"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B.Ed</w:t>
            </w:r>
            <w:r w:rsidR="00236880" w:rsidRPr="00343034">
              <w:rPr>
                <w:rFonts w:ascii="Times New Roman" w:eastAsia="Times New Roman" w:hAnsi="Times New Roman"/>
                <w:sz w:val="24"/>
                <w:szCs w:val="24"/>
              </w:rPr>
              <w:t>.</w:t>
            </w:r>
            <w:r w:rsidRPr="00343034">
              <w:rPr>
                <w:rFonts w:ascii="Times New Roman" w:eastAsia="Times New Roman" w:hAnsi="Times New Roman"/>
                <w:sz w:val="24"/>
                <w:szCs w:val="24"/>
              </w:rPr>
              <w:t xml:space="preserve"> 4th </w:t>
            </w:r>
          </w:p>
        </w:tc>
        <w:tc>
          <w:tcPr>
            <w:tcW w:w="975"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22</w:t>
            </w:r>
          </w:p>
        </w:tc>
        <w:tc>
          <w:tcPr>
            <w:tcW w:w="1018"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18</w:t>
            </w:r>
          </w:p>
        </w:tc>
        <w:tc>
          <w:tcPr>
            <w:tcW w:w="989"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4</w:t>
            </w:r>
          </w:p>
        </w:tc>
        <w:tc>
          <w:tcPr>
            <w:tcW w:w="974"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18.18</w:t>
            </w:r>
          </w:p>
        </w:tc>
      </w:tr>
      <w:tr w:rsidR="00063C10" w:rsidRPr="00343034" w:rsidTr="006E280D">
        <w:trPr>
          <w:trHeight w:val="375"/>
        </w:trPr>
        <w:tc>
          <w:tcPr>
            <w:tcW w:w="1043"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 xml:space="preserve">MBS I </w:t>
            </w:r>
            <w:r w:rsidR="00BE3491" w:rsidRPr="00343034">
              <w:rPr>
                <w:rFonts w:ascii="Times New Roman" w:eastAsia="Times New Roman" w:hAnsi="Times New Roman"/>
                <w:sz w:val="24"/>
                <w:szCs w:val="24"/>
              </w:rPr>
              <w:t>Semester</w:t>
            </w:r>
            <w:r w:rsidRPr="00343034">
              <w:rPr>
                <w:rFonts w:ascii="Times New Roman" w:eastAsia="Times New Roman" w:hAnsi="Times New Roman"/>
                <w:sz w:val="24"/>
                <w:szCs w:val="24"/>
              </w:rPr>
              <w:t xml:space="preserve"> </w:t>
            </w:r>
          </w:p>
        </w:tc>
        <w:tc>
          <w:tcPr>
            <w:tcW w:w="975"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45</w:t>
            </w:r>
          </w:p>
        </w:tc>
        <w:tc>
          <w:tcPr>
            <w:tcW w:w="1018"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44</w:t>
            </w:r>
          </w:p>
        </w:tc>
        <w:tc>
          <w:tcPr>
            <w:tcW w:w="989"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1</w:t>
            </w:r>
          </w:p>
        </w:tc>
        <w:tc>
          <w:tcPr>
            <w:tcW w:w="974"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2.22</w:t>
            </w:r>
          </w:p>
        </w:tc>
      </w:tr>
      <w:tr w:rsidR="00753D58" w:rsidRPr="00343034" w:rsidTr="006E280D">
        <w:trPr>
          <w:trHeight w:val="375"/>
        </w:trPr>
        <w:tc>
          <w:tcPr>
            <w:tcW w:w="1043"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 xml:space="preserve">MBS II </w:t>
            </w:r>
            <w:r w:rsidR="00BE3491" w:rsidRPr="00343034">
              <w:rPr>
                <w:rFonts w:ascii="Times New Roman" w:eastAsia="Times New Roman" w:hAnsi="Times New Roman"/>
                <w:sz w:val="24"/>
                <w:szCs w:val="24"/>
              </w:rPr>
              <w:t>Semester</w:t>
            </w:r>
            <w:r w:rsidRPr="00343034">
              <w:rPr>
                <w:rFonts w:ascii="Times New Roman" w:eastAsia="Times New Roman" w:hAnsi="Times New Roman"/>
                <w:sz w:val="24"/>
                <w:szCs w:val="24"/>
              </w:rPr>
              <w:t xml:space="preserve"> </w:t>
            </w:r>
          </w:p>
        </w:tc>
        <w:tc>
          <w:tcPr>
            <w:tcW w:w="975" w:type="pct"/>
            <w:shd w:val="clear" w:color="auto" w:fill="FFFFFF"/>
            <w:noWrap/>
            <w:vAlign w:val="bottom"/>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27</w:t>
            </w:r>
          </w:p>
        </w:tc>
        <w:tc>
          <w:tcPr>
            <w:tcW w:w="1018" w:type="pct"/>
            <w:shd w:val="clear" w:color="auto" w:fill="FFFFFF"/>
            <w:noWrap/>
            <w:vAlign w:val="bottom"/>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27</w:t>
            </w:r>
          </w:p>
        </w:tc>
        <w:tc>
          <w:tcPr>
            <w:tcW w:w="989" w:type="pct"/>
            <w:shd w:val="clear" w:color="auto" w:fill="FFFFFF"/>
            <w:noWrap/>
            <w:vAlign w:val="bottom"/>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0</w:t>
            </w:r>
          </w:p>
        </w:tc>
        <w:tc>
          <w:tcPr>
            <w:tcW w:w="974" w:type="pct"/>
            <w:shd w:val="clear" w:color="auto" w:fill="FFFFFF"/>
            <w:noWrap/>
            <w:vAlign w:val="bottom"/>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0</w:t>
            </w:r>
            <w:r w:rsidR="00896F59" w:rsidRPr="00343034">
              <w:rPr>
                <w:rFonts w:ascii="Times New Roman" w:eastAsia="Times New Roman" w:hAnsi="Times New Roman"/>
                <w:sz w:val="24"/>
                <w:szCs w:val="24"/>
              </w:rPr>
              <w:t>.00</w:t>
            </w:r>
          </w:p>
        </w:tc>
      </w:tr>
      <w:tr w:rsidR="00063C10" w:rsidRPr="00343034" w:rsidTr="006E280D">
        <w:trPr>
          <w:trHeight w:val="375"/>
        </w:trPr>
        <w:tc>
          <w:tcPr>
            <w:tcW w:w="1043"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 xml:space="preserve">MBS III </w:t>
            </w:r>
            <w:r w:rsidR="00BE3491" w:rsidRPr="00343034">
              <w:rPr>
                <w:rFonts w:ascii="Times New Roman" w:eastAsia="Times New Roman" w:hAnsi="Times New Roman"/>
                <w:sz w:val="24"/>
                <w:szCs w:val="24"/>
              </w:rPr>
              <w:t>Semester</w:t>
            </w:r>
            <w:r w:rsidRPr="00343034">
              <w:rPr>
                <w:rFonts w:ascii="Times New Roman" w:eastAsia="Times New Roman" w:hAnsi="Times New Roman"/>
                <w:sz w:val="24"/>
                <w:szCs w:val="24"/>
              </w:rPr>
              <w:t xml:space="preserve"> </w:t>
            </w:r>
          </w:p>
        </w:tc>
        <w:tc>
          <w:tcPr>
            <w:tcW w:w="975" w:type="pct"/>
            <w:shd w:val="clear" w:color="auto" w:fill="FFFFFF"/>
            <w:noWrap/>
            <w:vAlign w:val="bottom"/>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28</w:t>
            </w:r>
          </w:p>
        </w:tc>
        <w:tc>
          <w:tcPr>
            <w:tcW w:w="1018" w:type="pct"/>
            <w:shd w:val="clear" w:color="auto" w:fill="FFFFFF"/>
            <w:noWrap/>
            <w:vAlign w:val="bottom"/>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28</w:t>
            </w:r>
          </w:p>
        </w:tc>
        <w:tc>
          <w:tcPr>
            <w:tcW w:w="989" w:type="pct"/>
            <w:shd w:val="clear" w:color="auto" w:fill="FFFFFF"/>
            <w:noWrap/>
            <w:vAlign w:val="bottom"/>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0</w:t>
            </w:r>
          </w:p>
        </w:tc>
        <w:tc>
          <w:tcPr>
            <w:tcW w:w="974" w:type="pct"/>
            <w:shd w:val="clear" w:color="auto" w:fill="FFFFFF"/>
            <w:noWrap/>
            <w:vAlign w:val="bottom"/>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0</w:t>
            </w:r>
            <w:r w:rsidR="00896F59" w:rsidRPr="00343034">
              <w:rPr>
                <w:rFonts w:ascii="Times New Roman" w:eastAsia="Times New Roman" w:hAnsi="Times New Roman"/>
                <w:sz w:val="24"/>
                <w:szCs w:val="24"/>
              </w:rPr>
              <w:t>.00</w:t>
            </w:r>
          </w:p>
        </w:tc>
      </w:tr>
      <w:tr w:rsidR="00753D58" w:rsidRPr="00343034" w:rsidTr="006E280D">
        <w:trPr>
          <w:trHeight w:val="375"/>
        </w:trPr>
        <w:tc>
          <w:tcPr>
            <w:tcW w:w="1043"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 xml:space="preserve">M. Ed. IV </w:t>
            </w:r>
          </w:p>
        </w:tc>
        <w:tc>
          <w:tcPr>
            <w:tcW w:w="975"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6</w:t>
            </w:r>
          </w:p>
        </w:tc>
        <w:tc>
          <w:tcPr>
            <w:tcW w:w="1018"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6</w:t>
            </w:r>
          </w:p>
        </w:tc>
        <w:tc>
          <w:tcPr>
            <w:tcW w:w="989"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0</w:t>
            </w:r>
          </w:p>
        </w:tc>
        <w:tc>
          <w:tcPr>
            <w:tcW w:w="974"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0</w:t>
            </w:r>
            <w:r w:rsidR="00896F59" w:rsidRPr="00343034">
              <w:rPr>
                <w:rFonts w:ascii="Times New Roman" w:eastAsia="Times New Roman" w:hAnsi="Times New Roman"/>
                <w:sz w:val="24"/>
                <w:szCs w:val="24"/>
              </w:rPr>
              <w:t>.00</w:t>
            </w:r>
          </w:p>
        </w:tc>
      </w:tr>
      <w:tr w:rsidR="00063C10" w:rsidRPr="00343034" w:rsidTr="006E280D">
        <w:trPr>
          <w:trHeight w:val="375"/>
        </w:trPr>
        <w:tc>
          <w:tcPr>
            <w:tcW w:w="1043"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 xml:space="preserve">MA III </w:t>
            </w:r>
          </w:p>
        </w:tc>
        <w:tc>
          <w:tcPr>
            <w:tcW w:w="975"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28</w:t>
            </w:r>
          </w:p>
        </w:tc>
        <w:tc>
          <w:tcPr>
            <w:tcW w:w="1018"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28</w:t>
            </w:r>
          </w:p>
        </w:tc>
        <w:tc>
          <w:tcPr>
            <w:tcW w:w="989"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0</w:t>
            </w:r>
          </w:p>
        </w:tc>
        <w:tc>
          <w:tcPr>
            <w:tcW w:w="974"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0</w:t>
            </w:r>
            <w:r w:rsidR="00896F59" w:rsidRPr="00343034">
              <w:rPr>
                <w:rFonts w:ascii="Times New Roman" w:eastAsia="Times New Roman" w:hAnsi="Times New Roman"/>
                <w:sz w:val="24"/>
                <w:szCs w:val="24"/>
              </w:rPr>
              <w:t>.00</w:t>
            </w:r>
          </w:p>
        </w:tc>
      </w:tr>
      <w:tr w:rsidR="00753D58" w:rsidRPr="00343034" w:rsidTr="006E280D">
        <w:trPr>
          <w:trHeight w:val="375"/>
        </w:trPr>
        <w:tc>
          <w:tcPr>
            <w:tcW w:w="1043"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 xml:space="preserve">MA II </w:t>
            </w:r>
            <w:r w:rsidR="00BE3491" w:rsidRPr="00343034">
              <w:rPr>
                <w:rFonts w:ascii="Times New Roman" w:eastAsia="Times New Roman" w:hAnsi="Times New Roman"/>
                <w:sz w:val="24"/>
                <w:szCs w:val="24"/>
              </w:rPr>
              <w:t>Semester</w:t>
            </w:r>
            <w:r w:rsidRPr="00343034">
              <w:rPr>
                <w:rFonts w:ascii="Times New Roman" w:eastAsia="Times New Roman" w:hAnsi="Times New Roman"/>
                <w:sz w:val="24"/>
                <w:szCs w:val="24"/>
              </w:rPr>
              <w:t xml:space="preserve"> </w:t>
            </w:r>
          </w:p>
        </w:tc>
        <w:tc>
          <w:tcPr>
            <w:tcW w:w="975" w:type="pct"/>
            <w:shd w:val="clear" w:color="auto" w:fill="FFFFFF"/>
            <w:noWrap/>
            <w:vAlign w:val="bottom"/>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42</w:t>
            </w:r>
          </w:p>
        </w:tc>
        <w:tc>
          <w:tcPr>
            <w:tcW w:w="1018"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40</w:t>
            </w:r>
          </w:p>
        </w:tc>
        <w:tc>
          <w:tcPr>
            <w:tcW w:w="989"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2</w:t>
            </w:r>
          </w:p>
        </w:tc>
        <w:tc>
          <w:tcPr>
            <w:tcW w:w="974"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4.76</w:t>
            </w:r>
          </w:p>
        </w:tc>
      </w:tr>
      <w:tr w:rsidR="00063C10" w:rsidRPr="00343034" w:rsidTr="006E280D">
        <w:trPr>
          <w:trHeight w:val="375"/>
        </w:trPr>
        <w:tc>
          <w:tcPr>
            <w:tcW w:w="1043"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 xml:space="preserve">MA I </w:t>
            </w:r>
            <w:r w:rsidR="00BE3491" w:rsidRPr="00343034">
              <w:rPr>
                <w:rFonts w:ascii="Times New Roman" w:eastAsia="Times New Roman" w:hAnsi="Times New Roman"/>
                <w:sz w:val="24"/>
                <w:szCs w:val="24"/>
              </w:rPr>
              <w:t>Semester</w:t>
            </w:r>
            <w:r w:rsidRPr="00343034">
              <w:rPr>
                <w:rFonts w:ascii="Times New Roman" w:eastAsia="Times New Roman" w:hAnsi="Times New Roman"/>
                <w:sz w:val="24"/>
                <w:szCs w:val="24"/>
              </w:rPr>
              <w:t xml:space="preserve"> </w:t>
            </w:r>
          </w:p>
        </w:tc>
        <w:tc>
          <w:tcPr>
            <w:tcW w:w="975"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64</w:t>
            </w:r>
          </w:p>
        </w:tc>
        <w:tc>
          <w:tcPr>
            <w:tcW w:w="1018"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61</w:t>
            </w:r>
          </w:p>
        </w:tc>
        <w:tc>
          <w:tcPr>
            <w:tcW w:w="989"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3</w:t>
            </w:r>
          </w:p>
        </w:tc>
        <w:tc>
          <w:tcPr>
            <w:tcW w:w="974"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4.69</w:t>
            </w:r>
          </w:p>
        </w:tc>
      </w:tr>
      <w:tr w:rsidR="00753D58" w:rsidRPr="00343034" w:rsidTr="006E280D">
        <w:trPr>
          <w:trHeight w:val="375"/>
        </w:trPr>
        <w:tc>
          <w:tcPr>
            <w:tcW w:w="1043"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Total</w:t>
            </w:r>
          </w:p>
        </w:tc>
        <w:tc>
          <w:tcPr>
            <w:tcW w:w="975" w:type="pct"/>
            <w:shd w:val="clear" w:color="auto" w:fill="FFFFFF"/>
            <w:noWrap/>
            <w:vAlign w:val="bottom"/>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1714</w:t>
            </w:r>
          </w:p>
        </w:tc>
        <w:tc>
          <w:tcPr>
            <w:tcW w:w="1018" w:type="pct"/>
            <w:shd w:val="clear" w:color="auto" w:fill="FFFFFF"/>
            <w:noWrap/>
            <w:vAlign w:val="bottom"/>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1378</w:t>
            </w:r>
          </w:p>
        </w:tc>
        <w:tc>
          <w:tcPr>
            <w:tcW w:w="989" w:type="pct"/>
            <w:shd w:val="clear" w:color="auto" w:fill="FFFFFF"/>
            <w:noWrap/>
            <w:vAlign w:val="bottom"/>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336</w:t>
            </w:r>
          </w:p>
        </w:tc>
        <w:tc>
          <w:tcPr>
            <w:tcW w:w="974" w:type="pct"/>
            <w:shd w:val="clear" w:color="auto" w:fill="FFFFFF"/>
            <w:noWrap/>
            <w:vAlign w:val="center"/>
            <w:hideMark/>
          </w:tcPr>
          <w:p w:rsidR="00753D58" w:rsidRPr="00343034" w:rsidRDefault="00753D58" w:rsidP="00343034">
            <w:pPr>
              <w:spacing w:after="0"/>
              <w:jc w:val="center"/>
              <w:rPr>
                <w:rFonts w:ascii="Times New Roman" w:eastAsia="Times New Roman" w:hAnsi="Times New Roman"/>
                <w:sz w:val="24"/>
                <w:szCs w:val="24"/>
              </w:rPr>
            </w:pPr>
            <w:r w:rsidRPr="00343034">
              <w:rPr>
                <w:rFonts w:ascii="Times New Roman" w:eastAsia="Times New Roman" w:hAnsi="Times New Roman"/>
                <w:sz w:val="24"/>
                <w:szCs w:val="24"/>
              </w:rPr>
              <w:t>19.6</w:t>
            </w:r>
            <w:r w:rsidR="00896F59" w:rsidRPr="00343034">
              <w:rPr>
                <w:rFonts w:ascii="Times New Roman" w:eastAsia="Times New Roman" w:hAnsi="Times New Roman"/>
                <w:sz w:val="24"/>
                <w:szCs w:val="24"/>
              </w:rPr>
              <w:t>0</w:t>
            </w:r>
          </w:p>
        </w:tc>
      </w:tr>
    </w:tbl>
    <w:p w:rsidR="00241448" w:rsidRPr="00343034" w:rsidRDefault="00241448" w:rsidP="00343034">
      <w:pPr>
        <w:pStyle w:val="NormalWeb"/>
        <w:spacing w:before="0" w:beforeAutospacing="0" w:after="0" w:afterAutospacing="0" w:line="276" w:lineRule="auto"/>
        <w:jc w:val="both"/>
      </w:pPr>
      <w:r w:rsidRPr="00343034">
        <w:t>Source: EMIS; 2023</w:t>
      </w:r>
    </w:p>
    <w:p w:rsidR="004A5A97" w:rsidRPr="00343034" w:rsidRDefault="004A5A97" w:rsidP="00343034">
      <w:pPr>
        <w:pStyle w:val="NormalWeb"/>
        <w:spacing w:before="0" w:beforeAutospacing="0" w:after="0" w:afterAutospacing="0" w:line="276" w:lineRule="auto"/>
        <w:jc w:val="both"/>
      </w:pPr>
      <w:r w:rsidRPr="00343034">
        <w:rPr>
          <w:b/>
        </w:rPr>
        <w:t>Comparative Study of Level Wise Student Dropout at Baneshwor Multiple Campus; 2020-2022</w:t>
      </w:r>
    </w:p>
    <w:p w:rsidR="004A5A97" w:rsidRPr="00343034" w:rsidRDefault="004A5A97" w:rsidP="00343034">
      <w:pPr>
        <w:pStyle w:val="NormalWeb"/>
        <w:spacing w:before="0" w:beforeAutospacing="0" w:after="0" w:afterAutospacing="0" w:line="276" w:lineRule="auto"/>
        <w:jc w:val="both"/>
      </w:pPr>
      <w:r w:rsidRPr="00343034">
        <w:t>The table provides a summary of the percentage student dropout rates at Baneshwor Multiple Campus in the academic years 2020-2022 based on different academic levels. These data, expressed as percentages, suggest separate trends and tendencies that allow for the observation of important patterns. Remarkably, the figures demonstrate a noticeable growth in dropout numbers among B</w:t>
      </w:r>
      <w:r w:rsidR="00ED3C71" w:rsidRPr="00343034">
        <w:t>.E</w:t>
      </w:r>
      <w:r w:rsidRPr="00343034">
        <w:t>d. 2</w:t>
      </w:r>
      <w:r w:rsidRPr="00343034">
        <w:rPr>
          <w:vertAlign w:val="superscript"/>
        </w:rPr>
        <w:t>nd</w:t>
      </w:r>
      <w:r w:rsidR="00ED3C71" w:rsidRPr="00343034">
        <w:t xml:space="preserve"> </w:t>
      </w:r>
      <w:r w:rsidRPr="00343034">
        <w:t>from 2020 to 2022, with BBS 2</w:t>
      </w:r>
      <w:r w:rsidRPr="00343034">
        <w:rPr>
          <w:vertAlign w:val="superscript"/>
        </w:rPr>
        <w:t>nd</w:t>
      </w:r>
      <w:r w:rsidR="00ED3C71" w:rsidRPr="00343034">
        <w:t xml:space="preserve"> </w:t>
      </w:r>
      <w:r w:rsidRPr="00343034">
        <w:t>indicating possible difficulties or conditions connected with this level. These wide variations in BA 2nd dropout rates reached an unprecedented height of 14.65 percent in 2020 and increased again to 32.60 percent in 2022, warranting further investigation into possibly environmentally or academically related changes influencing student retention and graduation rates. Similarly, the swings in B.Ed. over this period saw a bigger increase, with the number of dropouts rising from a whopping 22.73 percent in 2020 to 40.50 percent by the year 2022; this, therefore, requires a closer look at environmental or academic impacts as determining factors.</w:t>
      </w:r>
    </w:p>
    <w:p w:rsidR="004A5A97" w:rsidRPr="00343034" w:rsidRDefault="004A5A97" w:rsidP="00343034">
      <w:pPr>
        <w:pStyle w:val="NormalWeb"/>
        <w:spacing w:before="0" w:beforeAutospacing="0" w:after="0" w:afterAutospacing="0" w:line="276" w:lineRule="auto"/>
        <w:jc w:val="both"/>
      </w:pPr>
      <w:r w:rsidRPr="00343034">
        <w:t xml:space="preserve"> It is evident that the significant rise in BBS second year dropout rates, reaching 26.53 percent in 2020, and peaking at 39.16 percent in 2022, should be addressed through a detailed study of issues directly related to BBS students. On the other hand, some negative dropout rates occur at BBS fourth year, affecting students. Fourth levels demonstrate a net positive transfer, suggesting that perhaps more students are being attracted by the campus than are leaving it. An inquiry is necessary into special features of these programs, campus accommodation, or academic level, probably provoking this positive tendency. Observing the net transfer rates alongside the dropout rates provides informative patterns. High positive net transfers and negative dropout rates indicate an important student retention issue, suggesting that students are not only staying on campus but are also being attracted to it. This signifies an attractive campus and successful efforts in student attraction and retention.</w:t>
      </w:r>
      <w:r w:rsidR="00647FAF" w:rsidRPr="00343034">
        <w:t xml:space="preserve"> </w:t>
      </w:r>
      <w:r w:rsidR="001038F2" w:rsidRPr="00343034">
        <w:t>Nonetheless, there are some questions over the B.Ed. third and fourth year negative dropout rates of 2021 as well as the 2020 BBS four</w:t>
      </w:r>
      <w:r w:rsidR="00B776FD" w:rsidRPr="00343034">
        <w:t>th year negative dropout rate, b</w:t>
      </w:r>
      <w:r w:rsidR="001038F2" w:rsidRPr="00343034">
        <w:t>ecause TU does not usually allow transfers in the final year of any level. However, considering the status of Covid-19 at the time, it's plausible that this happened as a result of the relaxing of this clause.</w:t>
      </w:r>
    </w:p>
    <w:p w:rsidR="004A5A97" w:rsidRPr="00343034" w:rsidRDefault="004A5A97" w:rsidP="00343034">
      <w:pPr>
        <w:pStyle w:val="NormalWeb"/>
        <w:spacing w:before="0" w:beforeAutospacing="0" w:after="0" w:afterAutospacing="0" w:line="276" w:lineRule="auto"/>
        <w:jc w:val="both"/>
      </w:pPr>
      <w:r w:rsidRPr="00343034">
        <w:t>The average dropout rates at each level in a particular academic year provide insights into the holistic performance of the program. More importantly, there appears to be a higher rate of dropout during the BBS 2nd year across years, thus pointing out program related issues that need detailed investigation.</w:t>
      </w:r>
    </w:p>
    <w:p w:rsidR="004A5A97" w:rsidRPr="00343034" w:rsidRDefault="006A4CCA" w:rsidP="00343034">
      <w:pPr>
        <w:pStyle w:val="NormalWeb"/>
        <w:spacing w:before="0" w:beforeAutospacing="0" w:after="0" w:afterAutospacing="0" w:line="276" w:lineRule="auto"/>
        <w:jc w:val="center"/>
      </w:pPr>
      <w:r w:rsidRPr="00343034">
        <w:rPr>
          <w:b/>
        </w:rPr>
        <w:br w:type="page"/>
      </w:r>
      <w:r w:rsidR="004A5A97" w:rsidRPr="00343034">
        <w:rPr>
          <w:b/>
        </w:rPr>
        <w:t>Table 4</w:t>
      </w:r>
    </w:p>
    <w:p w:rsidR="004A5A97" w:rsidRPr="00343034" w:rsidRDefault="004A5A97" w:rsidP="00343034">
      <w:pPr>
        <w:spacing w:after="0"/>
        <w:jc w:val="center"/>
        <w:rPr>
          <w:rFonts w:ascii="Times New Roman" w:hAnsi="Times New Roman"/>
          <w:b/>
          <w:sz w:val="24"/>
          <w:szCs w:val="24"/>
        </w:rPr>
      </w:pPr>
      <w:r w:rsidRPr="00343034">
        <w:rPr>
          <w:rFonts w:ascii="Times New Roman" w:hAnsi="Times New Roman"/>
          <w:b/>
          <w:sz w:val="24"/>
          <w:szCs w:val="24"/>
        </w:rPr>
        <w:t>Student Dropout at Baneshwor Multiple Campus; 2020-2022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2116"/>
        <w:gridCol w:w="2690"/>
        <w:gridCol w:w="2296"/>
      </w:tblGrid>
      <w:tr w:rsidR="004A5A97" w:rsidRPr="00343034" w:rsidTr="008945C7">
        <w:tc>
          <w:tcPr>
            <w:tcW w:w="1998" w:type="dxa"/>
            <w:shd w:val="clear" w:color="auto" w:fill="auto"/>
          </w:tcPr>
          <w:p w:rsidR="004A5A97" w:rsidRPr="00343034" w:rsidRDefault="004A5A97" w:rsidP="00343034">
            <w:pPr>
              <w:spacing w:after="0"/>
              <w:jc w:val="both"/>
              <w:rPr>
                <w:rFonts w:ascii="Times New Roman" w:hAnsi="Times New Roman"/>
                <w:b/>
                <w:sz w:val="24"/>
                <w:szCs w:val="24"/>
              </w:rPr>
            </w:pPr>
            <w:r w:rsidRPr="00343034">
              <w:rPr>
                <w:rFonts w:ascii="Times New Roman" w:hAnsi="Times New Roman"/>
                <w:b/>
                <w:sz w:val="24"/>
                <w:szCs w:val="24"/>
              </w:rPr>
              <w:t>Level</w:t>
            </w:r>
          </w:p>
        </w:tc>
        <w:tc>
          <w:tcPr>
            <w:tcW w:w="7578" w:type="dxa"/>
            <w:gridSpan w:val="3"/>
            <w:shd w:val="clear" w:color="auto" w:fill="auto"/>
          </w:tcPr>
          <w:p w:rsidR="004A5A97" w:rsidRPr="00343034" w:rsidRDefault="004A5A97" w:rsidP="00343034">
            <w:pPr>
              <w:spacing w:after="0"/>
              <w:jc w:val="center"/>
              <w:rPr>
                <w:rFonts w:ascii="Times New Roman" w:hAnsi="Times New Roman"/>
                <w:b/>
                <w:sz w:val="24"/>
                <w:szCs w:val="24"/>
              </w:rPr>
            </w:pPr>
            <w:r w:rsidRPr="00343034">
              <w:rPr>
                <w:rFonts w:ascii="Times New Roman" w:hAnsi="Times New Roman"/>
                <w:b/>
                <w:sz w:val="24"/>
                <w:szCs w:val="24"/>
              </w:rPr>
              <w:t>Academic Year (Dropout rate in %)</w:t>
            </w:r>
          </w:p>
        </w:tc>
      </w:tr>
      <w:tr w:rsidR="004A5A97" w:rsidRPr="00343034" w:rsidTr="008945C7">
        <w:tc>
          <w:tcPr>
            <w:tcW w:w="1998" w:type="dxa"/>
            <w:shd w:val="clear" w:color="auto" w:fill="auto"/>
          </w:tcPr>
          <w:p w:rsidR="004A5A97" w:rsidRPr="00343034" w:rsidRDefault="004A5A97" w:rsidP="00343034">
            <w:pPr>
              <w:spacing w:after="0"/>
              <w:jc w:val="both"/>
              <w:rPr>
                <w:rFonts w:ascii="Times New Roman" w:hAnsi="Times New Roman"/>
                <w:b/>
                <w:sz w:val="24"/>
                <w:szCs w:val="24"/>
              </w:rPr>
            </w:pPr>
          </w:p>
        </w:tc>
        <w:tc>
          <w:tcPr>
            <w:tcW w:w="2250" w:type="dxa"/>
            <w:shd w:val="clear" w:color="auto" w:fill="auto"/>
          </w:tcPr>
          <w:p w:rsidR="004A5A97" w:rsidRPr="00343034" w:rsidRDefault="004A5A97" w:rsidP="00343034">
            <w:pPr>
              <w:spacing w:after="0"/>
              <w:jc w:val="both"/>
              <w:rPr>
                <w:rFonts w:ascii="Times New Roman" w:hAnsi="Times New Roman"/>
                <w:b/>
                <w:sz w:val="24"/>
                <w:szCs w:val="24"/>
              </w:rPr>
            </w:pPr>
            <w:r w:rsidRPr="00343034">
              <w:rPr>
                <w:rFonts w:ascii="Times New Roman" w:hAnsi="Times New Roman"/>
                <w:b/>
                <w:sz w:val="24"/>
                <w:szCs w:val="24"/>
              </w:rPr>
              <w:t>2020</w:t>
            </w:r>
          </w:p>
        </w:tc>
        <w:tc>
          <w:tcPr>
            <w:tcW w:w="2880" w:type="dxa"/>
            <w:shd w:val="clear" w:color="auto" w:fill="auto"/>
          </w:tcPr>
          <w:p w:rsidR="004A5A97" w:rsidRPr="00343034" w:rsidRDefault="004A5A97" w:rsidP="00343034">
            <w:pPr>
              <w:spacing w:after="0"/>
              <w:jc w:val="both"/>
              <w:rPr>
                <w:rFonts w:ascii="Times New Roman" w:hAnsi="Times New Roman"/>
                <w:b/>
                <w:sz w:val="24"/>
                <w:szCs w:val="24"/>
              </w:rPr>
            </w:pPr>
            <w:r w:rsidRPr="00343034">
              <w:rPr>
                <w:rFonts w:ascii="Times New Roman" w:hAnsi="Times New Roman"/>
                <w:b/>
                <w:sz w:val="24"/>
                <w:szCs w:val="24"/>
              </w:rPr>
              <w:t>2021</w:t>
            </w:r>
          </w:p>
        </w:tc>
        <w:tc>
          <w:tcPr>
            <w:tcW w:w="2448" w:type="dxa"/>
            <w:shd w:val="clear" w:color="auto" w:fill="auto"/>
          </w:tcPr>
          <w:p w:rsidR="004A5A97" w:rsidRPr="00343034" w:rsidRDefault="004A5A97" w:rsidP="00343034">
            <w:pPr>
              <w:spacing w:after="0"/>
              <w:jc w:val="both"/>
              <w:rPr>
                <w:rFonts w:ascii="Times New Roman" w:hAnsi="Times New Roman"/>
                <w:b/>
                <w:sz w:val="24"/>
                <w:szCs w:val="24"/>
              </w:rPr>
            </w:pPr>
            <w:r w:rsidRPr="00343034">
              <w:rPr>
                <w:rFonts w:ascii="Times New Roman" w:hAnsi="Times New Roman"/>
                <w:b/>
                <w:sz w:val="24"/>
                <w:szCs w:val="24"/>
              </w:rPr>
              <w:t>2022</w:t>
            </w:r>
          </w:p>
        </w:tc>
      </w:tr>
      <w:tr w:rsidR="004A5A97" w:rsidRPr="00343034" w:rsidTr="008945C7">
        <w:tc>
          <w:tcPr>
            <w:tcW w:w="1998" w:type="dxa"/>
            <w:shd w:val="clear" w:color="auto" w:fill="auto"/>
          </w:tcPr>
          <w:p w:rsidR="004A5A97" w:rsidRPr="00343034" w:rsidRDefault="004A5A97" w:rsidP="00343034">
            <w:pPr>
              <w:spacing w:after="0"/>
              <w:jc w:val="both"/>
              <w:rPr>
                <w:rFonts w:ascii="Times New Roman" w:hAnsi="Times New Roman"/>
                <w:sz w:val="24"/>
                <w:szCs w:val="24"/>
              </w:rPr>
            </w:pPr>
            <w:r w:rsidRPr="00343034">
              <w:rPr>
                <w:rFonts w:ascii="Times New Roman" w:hAnsi="Times New Roman"/>
                <w:sz w:val="24"/>
                <w:szCs w:val="24"/>
              </w:rPr>
              <w:t>BA 1</w:t>
            </w:r>
            <w:r w:rsidRPr="00343034">
              <w:rPr>
                <w:rFonts w:ascii="Times New Roman" w:hAnsi="Times New Roman"/>
                <w:sz w:val="24"/>
                <w:szCs w:val="24"/>
                <w:vertAlign w:val="superscript"/>
              </w:rPr>
              <w:t>st</w:t>
            </w:r>
            <w:r w:rsidRPr="00343034">
              <w:rPr>
                <w:rFonts w:ascii="Times New Roman" w:hAnsi="Times New Roman"/>
                <w:sz w:val="24"/>
                <w:szCs w:val="24"/>
              </w:rPr>
              <w:t xml:space="preserve"> </w:t>
            </w:r>
          </w:p>
        </w:tc>
        <w:tc>
          <w:tcPr>
            <w:tcW w:w="2250" w:type="dxa"/>
            <w:shd w:val="clear" w:color="auto" w:fill="auto"/>
          </w:tcPr>
          <w:p w:rsidR="004A5A97" w:rsidRPr="00343034" w:rsidRDefault="004A5A97" w:rsidP="00343034">
            <w:pPr>
              <w:spacing w:after="0"/>
              <w:jc w:val="both"/>
              <w:rPr>
                <w:rFonts w:ascii="Times New Roman" w:hAnsi="Times New Roman"/>
                <w:sz w:val="24"/>
                <w:szCs w:val="24"/>
              </w:rPr>
            </w:pPr>
            <w:r w:rsidRPr="00343034">
              <w:rPr>
                <w:rFonts w:ascii="Times New Roman" w:hAnsi="Times New Roman"/>
                <w:sz w:val="24"/>
                <w:szCs w:val="24"/>
              </w:rPr>
              <w:t>24.90</w:t>
            </w:r>
          </w:p>
        </w:tc>
        <w:tc>
          <w:tcPr>
            <w:tcW w:w="2880" w:type="dxa"/>
            <w:shd w:val="clear" w:color="auto" w:fill="auto"/>
          </w:tcPr>
          <w:p w:rsidR="004A5A97" w:rsidRPr="00343034" w:rsidRDefault="004A5A97" w:rsidP="00343034">
            <w:pPr>
              <w:spacing w:after="0"/>
              <w:jc w:val="both"/>
              <w:rPr>
                <w:rFonts w:ascii="Times New Roman" w:hAnsi="Times New Roman"/>
                <w:sz w:val="24"/>
                <w:szCs w:val="24"/>
              </w:rPr>
            </w:pPr>
            <w:r w:rsidRPr="00343034">
              <w:rPr>
                <w:rFonts w:ascii="Times New Roman" w:hAnsi="Times New Roman"/>
                <w:sz w:val="24"/>
                <w:szCs w:val="24"/>
              </w:rPr>
              <w:t>24.04</w:t>
            </w:r>
          </w:p>
        </w:tc>
        <w:tc>
          <w:tcPr>
            <w:tcW w:w="2448" w:type="dxa"/>
            <w:shd w:val="clear" w:color="auto" w:fill="auto"/>
          </w:tcPr>
          <w:p w:rsidR="004A5A97" w:rsidRPr="00343034" w:rsidRDefault="004A5A97" w:rsidP="00343034">
            <w:pPr>
              <w:spacing w:after="0"/>
              <w:jc w:val="both"/>
              <w:rPr>
                <w:rFonts w:ascii="Times New Roman" w:hAnsi="Times New Roman"/>
                <w:sz w:val="24"/>
                <w:szCs w:val="24"/>
              </w:rPr>
            </w:pPr>
            <w:r w:rsidRPr="00343034">
              <w:rPr>
                <w:rFonts w:ascii="Times New Roman" w:hAnsi="Times New Roman"/>
                <w:sz w:val="24"/>
                <w:szCs w:val="24"/>
              </w:rPr>
              <w:t>9.76</w:t>
            </w:r>
          </w:p>
        </w:tc>
      </w:tr>
      <w:tr w:rsidR="004A5A97" w:rsidRPr="00343034" w:rsidTr="008945C7">
        <w:tc>
          <w:tcPr>
            <w:tcW w:w="1998" w:type="dxa"/>
            <w:shd w:val="clear" w:color="auto" w:fill="auto"/>
          </w:tcPr>
          <w:p w:rsidR="004A5A97" w:rsidRPr="00343034" w:rsidRDefault="004A5A97" w:rsidP="00343034">
            <w:pPr>
              <w:spacing w:after="0"/>
              <w:jc w:val="both"/>
              <w:rPr>
                <w:rFonts w:ascii="Times New Roman" w:hAnsi="Times New Roman"/>
                <w:sz w:val="24"/>
                <w:szCs w:val="24"/>
              </w:rPr>
            </w:pPr>
            <w:r w:rsidRPr="00343034">
              <w:rPr>
                <w:rFonts w:ascii="Times New Roman" w:hAnsi="Times New Roman"/>
                <w:sz w:val="24"/>
                <w:szCs w:val="24"/>
              </w:rPr>
              <w:t>BA 2</w:t>
            </w:r>
            <w:r w:rsidRPr="00343034">
              <w:rPr>
                <w:rFonts w:ascii="Times New Roman" w:hAnsi="Times New Roman"/>
                <w:sz w:val="24"/>
                <w:szCs w:val="24"/>
                <w:vertAlign w:val="superscript"/>
              </w:rPr>
              <w:t>nd</w:t>
            </w:r>
            <w:r w:rsidRPr="00343034">
              <w:rPr>
                <w:rFonts w:ascii="Times New Roman" w:hAnsi="Times New Roman"/>
                <w:sz w:val="24"/>
                <w:szCs w:val="24"/>
              </w:rPr>
              <w:t xml:space="preserve"> </w:t>
            </w:r>
          </w:p>
        </w:tc>
        <w:tc>
          <w:tcPr>
            <w:tcW w:w="2250" w:type="dxa"/>
            <w:shd w:val="clear" w:color="auto" w:fill="auto"/>
          </w:tcPr>
          <w:p w:rsidR="004A5A97" w:rsidRPr="00343034" w:rsidRDefault="004A5A97" w:rsidP="00343034">
            <w:pPr>
              <w:spacing w:after="0"/>
              <w:jc w:val="both"/>
              <w:rPr>
                <w:rFonts w:ascii="Times New Roman" w:hAnsi="Times New Roman"/>
                <w:sz w:val="24"/>
                <w:szCs w:val="24"/>
              </w:rPr>
            </w:pPr>
            <w:r w:rsidRPr="00343034">
              <w:rPr>
                <w:rFonts w:ascii="Times New Roman" w:hAnsi="Times New Roman"/>
                <w:sz w:val="24"/>
                <w:szCs w:val="24"/>
              </w:rPr>
              <w:t>14.65</w:t>
            </w:r>
          </w:p>
        </w:tc>
        <w:tc>
          <w:tcPr>
            <w:tcW w:w="2880" w:type="dxa"/>
            <w:shd w:val="clear" w:color="auto" w:fill="auto"/>
          </w:tcPr>
          <w:p w:rsidR="004A5A97" w:rsidRPr="00343034" w:rsidRDefault="004A5A97" w:rsidP="00343034">
            <w:pPr>
              <w:spacing w:after="0"/>
              <w:jc w:val="both"/>
              <w:rPr>
                <w:rFonts w:ascii="Times New Roman" w:hAnsi="Times New Roman"/>
                <w:sz w:val="24"/>
                <w:szCs w:val="24"/>
              </w:rPr>
            </w:pPr>
            <w:r w:rsidRPr="00343034">
              <w:rPr>
                <w:rFonts w:ascii="Times New Roman" w:hAnsi="Times New Roman"/>
                <w:sz w:val="24"/>
                <w:szCs w:val="24"/>
              </w:rPr>
              <w:t>22.63</w:t>
            </w:r>
          </w:p>
        </w:tc>
        <w:tc>
          <w:tcPr>
            <w:tcW w:w="2448" w:type="dxa"/>
            <w:shd w:val="clear" w:color="auto" w:fill="auto"/>
          </w:tcPr>
          <w:p w:rsidR="004A5A97" w:rsidRPr="00343034" w:rsidRDefault="004A5A97" w:rsidP="00343034">
            <w:pPr>
              <w:spacing w:after="0"/>
              <w:jc w:val="both"/>
              <w:rPr>
                <w:rFonts w:ascii="Times New Roman" w:hAnsi="Times New Roman"/>
                <w:sz w:val="24"/>
                <w:szCs w:val="24"/>
              </w:rPr>
            </w:pPr>
            <w:r w:rsidRPr="00343034">
              <w:rPr>
                <w:rFonts w:ascii="Times New Roman" w:hAnsi="Times New Roman"/>
                <w:sz w:val="24"/>
                <w:szCs w:val="24"/>
              </w:rPr>
              <w:t>32.60</w:t>
            </w:r>
          </w:p>
        </w:tc>
      </w:tr>
      <w:tr w:rsidR="004A5A97" w:rsidRPr="00343034" w:rsidTr="008945C7">
        <w:tc>
          <w:tcPr>
            <w:tcW w:w="1998" w:type="dxa"/>
            <w:shd w:val="clear" w:color="auto" w:fill="auto"/>
          </w:tcPr>
          <w:p w:rsidR="004A5A97" w:rsidRPr="00343034" w:rsidRDefault="004A5A97" w:rsidP="00343034">
            <w:pPr>
              <w:spacing w:after="0"/>
              <w:jc w:val="both"/>
              <w:rPr>
                <w:rFonts w:ascii="Times New Roman" w:hAnsi="Times New Roman"/>
                <w:sz w:val="24"/>
                <w:szCs w:val="24"/>
              </w:rPr>
            </w:pPr>
            <w:r w:rsidRPr="00343034">
              <w:rPr>
                <w:rFonts w:ascii="Times New Roman" w:hAnsi="Times New Roman"/>
                <w:sz w:val="24"/>
                <w:szCs w:val="24"/>
              </w:rPr>
              <w:t>BA 3</w:t>
            </w:r>
            <w:r w:rsidRPr="00343034">
              <w:rPr>
                <w:rFonts w:ascii="Times New Roman" w:hAnsi="Times New Roman"/>
                <w:sz w:val="24"/>
                <w:szCs w:val="24"/>
                <w:vertAlign w:val="superscript"/>
              </w:rPr>
              <w:t>rd</w:t>
            </w:r>
            <w:r w:rsidRPr="00343034">
              <w:rPr>
                <w:rFonts w:ascii="Times New Roman" w:hAnsi="Times New Roman"/>
                <w:sz w:val="24"/>
                <w:szCs w:val="24"/>
              </w:rPr>
              <w:t xml:space="preserve"> </w:t>
            </w:r>
          </w:p>
        </w:tc>
        <w:tc>
          <w:tcPr>
            <w:tcW w:w="2250" w:type="dxa"/>
            <w:shd w:val="clear" w:color="auto" w:fill="auto"/>
          </w:tcPr>
          <w:p w:rsidR="004A5A97" w:rsidRPr="00343034" w:rsidRDefault="004A5A97" w:rsidP="00343034">
            <w:pPr>
              <w:spacing w:after="0"/>
              <w:jc w:val="both"/>
              <w:rPr>
                <w:rFonts w:ascii="Times New Roman" w:hAnsi="Times New Roman"/>
                <w:sz w:val="24"/>
                <w:szCs w:val="24"/>
              </w:rPr>
            </w:pPr>
            <w:r w:rsidRPr="00343034">
              <w:rPr>
                <w:rFonts w:ascii="Times New Roman" w:hAnsi="Times New Roman"/>
                <w:sz w:val="24"/>
                <w:szCs w:val="24"/>
              </w:rPr>
              <w:t>22.49</w:t>
            </w:r>
          </w:p>
        </w:tc>
        <w:tc>
          <w:tcPr>
            <w:tcW w:w="2880" w:type="dxa"/>
            <w:shd w:val="clear" w:color="auto" w:fill="auto"/>
          </w:tcPr>
          <w:p w:rsidR="004A5A97" w:rsidRPr="00343034" w:rsidRDefault="004A5A97" w:rsidP="00343034">
            <w:pPr>
              <w:spacing w:after="0"/>
              <w:jc w:val="both"/>
              <w:rPr>
                <w:rFonts w:ascii="Times New Roman" w:hAnsi="Times New Roman"/>
                <w:sz w:val="24"/>
                <w:szCs w:val="24"/>
              </w:rPr>
            </w:pPr>
            <w:r w:rsidRPr="00343034">
              <w:rPr>
                <w:rFonts w:ascii="Times New Roman" w:hAnsi="Times New Roman"/>
                <w:sz w:val="24"/>
                <w:szCs w:val="24"/>
              </w:rPr>
              <w:t>1.74</w:t>
            </w:r>
          </w:p>
        </w:tc>
        <w:tc>
          <w:tcPr>
            <w:tcW w:w="2448" w:type="dxa"/>
            <w:shd w:val="clear" w:color="auto" w:fill="auto"/>
          </w:tcPr>
          <w:p w:rsidR="004A5A97" w:rsidRPr="00343034" w:rsidRDefault="004A5A97" w:rsidP="00343034">
            <w:pPr>
              <w:spacing w:after="0"/>
              <w:jc w:val="both"/>
              <w:rPr>
                <w:rFonts w:ascii="Times New Roman" w:hAnsi="Times New Roman"/>
                <w:sz w:val="24"/>
                <w:szCs w:val="24"/>
              </w:rPr>
            </w:pPr>
            <w:r w:rsidRPr="00343034">
              <w:rPr>
                <w:rFonts w:ascii="Times New Roman" w:hAnsi="Times New Roman"/>
                <w:sz w:val="24"/>
                <w:szCs w:val="24"/>
              </w:rPr>
              <w:t>10.34</w:t>
            </w:r>
          </w:p>
        </w:tc>
      </w:tr>
      <w:tr w:rsidR="004A5A97" w:rsidRPr="00343034" w:rsidTr="008945C7">
        <w:tc>
          <w:tcPr>
            <w:tcW w:w="1998" w:type="dxa"/>
            <w:shd w:val="clear" w:color="auto" w:fill="auto"/>
          </w:tcPr>
          <w:p w:rsidR="004A5A97" w:rsidRPr="00343034" w:rsidRDefault="004A5A97" w:rsidP="00343034">
            <w:pPr>
              <w:spacing w:after="0"/>
              <w:jc w:val="both"/>
              <w:rPr>
                <w:rFonts w:ascii="Times New Roman" w:hAnsi="Times New Roman"/>
                <w:sz w:val="24"/>
                <w:szCs w:val="24"/>
              </w:rPr>
            </w:pPr>
            <w:r w:rsidRPr="00343034">
              <w:rPr>
                <w:rFonts w:ascii="Times New Roman" w:hAnsi="Times New Roman"/>
                <w:sz w:val="24"/>
                <w:szCs w:val="24"/>
              </w:rPr>
              <w:t>BBS 1</w:t>
            </w:r>
            <w:r w:rsidRPr="00343034">
              <w:rPr>
                <w:rFonts w:ascii="Times New Roman" w:hAnsi="Times New Roman"/>
                <w:sz w:val="24"/>
                <w:szCs w:val="24"/>
                <w:vertAlign w:val="superscript"/>
              </w:rPr>
              <w:t>st</w:t>
            </w:r>
            <w:r w:rsidRPr="00343034">
              <w:rPr>
                <w:rFonts w:ascii="Times New Roman" w:hAnsi="Times New Roman"/>
                <w:sz w:val="24"/>
                <w:szCs w:val="24"/>
              </w:rPr>
              <w:t xml:space="preserve"> </w:t>
            </w:r>
          </w:p>
        </w:tc>
        <w:tc>
          <w:tcPr>
            <w:tcW w:w="2250" w:type="dxa"/>
            <w:shd w:val="clear" w:color="auto" w:fill="auto"/>
          </w:tcPr>
          <w:p w:rsidR="004A5A97" w:rsidRPr="00343034" w:rsidRDefault="004A5A97" w:rsidP="00343034">
            <w:pPr>
              <w:spacing w:after="0"/>
              <w:jc w:val="both"/>
              <w:rPr>
                <w:rFonts w:ascii="Times New Roman" w:hAnsi="Times New Roman"/>
                <w:sz w:val="24"/>
                <w:szCs w:val="24"/>
              </w:rPr>
            </w:pPr>
            <w:r w:rsidRPr="00343034">
              <w:rPr>
                <w:rFonts w:ascii="Times New Roman" w:hAnsi="Times New Roman"/>
                <w:sz w:val="24"/>
                <w:szCs w:val="24"/>
              </w:rPr>
              <w:t>33.22</w:t>
            </w:r>
          </w:p>
        </w:tc>
        <w:tc>
          <w:tcPr>
            <w:tcW w:w="2880" w:type="dxa"/>
            <w:shd w:val="clear" w:color="auto" w:fill="auto"/>
          </w:tcPr>
          <w:p w:rsidR="004A5A97" w:rsidRPr="00343034" w:rsidRDefault="004A5A97" w:rsidP="00343034">
            <w:pPr>
              <w:spacing w:after="0"/>
              <w:jc w:val="both"/>
              <w:rPr>
                <w:rFonts w:ascii="Times New Roman" w:hAnsi="Times New Roman"/>
                <w:sz w:val="24"/>
                <w:szCs w:val="24"/>
              </w:rPr>
            </w:pPr>
            <w:r w:rsidRPr="00343034">
              <w:rPr>
                <w:rFonts w:ascii="Times New Roman" w:hAnsi="Times New Roman"/>
                <w:sz w:val="24"/>
                <w:szCs w:val="24"/>
              </w:rPr>
              <w:t>25.06</w:t>
            </w:r>
          </w:p>
        </w:tc>
        <w:tc>
          <w:tcPr>
            <w:tcW w:w="2448" w:type="dxa"/>
            <w:shd w:val="clear" w:color="auto" w:fill="auto"/>
          </w:tcPr>
          <w:p w:rsidR="004A5A97" w:rsidRPr="00343034" w:rsidRDefault="004A5A97" w:rsidP="00343034">
            <w:pPr>
              <w:spacing w:after="0"/>
              <w:jc w:val="both"/>
              <w:rPr>
                <w:rFonts w:ascii="Times New Roman" w:hAnsi="Times New Roman"/>
                <w:sz w:val="24"/>
                <w:szCs w:val="24"/>
              </w:rPr>
            </w:pPr>
            <w:r w:rsidRPr="00343034">
              <w:rPr>
                <w:rFonts w:ascii="Times New Roman" w:hAnsi="Times New Roman"/>
                <w:sz w:val="24"/>
                <w:szCs w:val="24"/>
              </w:rPr>
              <w:t>11.68</w:t>
            </w:r>
          </w:p>
        </w:tc>
      </w:tr>
      <w:tr w:rsidR="004A5A97" w:rsidRPr="00343034" w:rsidTr="008945C7">
        <w:tc>
          <w:tcPr>
            <w:tcW w:w="1998" w:type="dxa"/>
            <w:shd w:val="clear" w:color="auto" w:fill="auto"/>
          </w:tcPr>
          <w:p w:rsidR="004A5A97" w:rsidRPr="00343034" w:rsidRDefault="004A5A97" w:rsidP="00343034">
            <w:pPr>
              <w:spacing w:after="0"/>
              <w:jc w:val="both"/>
              <w:rPr>
                <w:rFonts w:ascii="Times New Roman" w:hAnsi="Times New Roman"/>
                <w:sz w:val="24"/>
                <w:szCs w:val="24"/>
              </w:rPr>
            </w:pPr>
            <w:r w:rsidRPr="00343034">
              <w:rPr>
                <w:rFonts w:ascii="Times New Roman" w:hAnsi="Times New Roman"/>
                <w:sz w:val="24"/>
                <w:szCs w:val="24"/>
              </w:rPr>
              <w:t>BBS 2</w:t>
            </w:r>
            <w:r w:rsidRPr="00343034">
              <w:rPr>
                <w:rFonts w:ascii="Times New Roman" w:hAnsi="Times New Roman"/>
                <w:sz w:val="24"/>
                <w:szCs w:val="24"/>
                <w:vertAlign w:val="superscript"/>
              </w:rPr>
              <w:t>nd</w:t>
            </w:r>
            <w:r w:rsidRPr="00343034">
              <w:rPr>
                <w:rFonts w:ascii="Times New Roman" w:hAnsi="Times New Roman"/>
                <w:sz w:val="24"/>
                <w:szCs w:val="24"/>
              </w:rPr>
              <w:t xml:space="preserve"> </w:t>
            </w:r>
          </w:p>
        </w:tc>
        <w:tc>
          <w:tcPr>
            <w:tcW w:w="2250" w:type="dxa"/>
            <w:shd w:val="clear" w:color="auto" w:fill="auto"/>
          </w:tcPr>
          <w:p w:rsidR="004A5A97" w:rsidRPr="00343034" w:rsidRDefault="004A5A97" w:rsidP="00343034">
            <w:pPr>
              <w:spacing w:after="0"/>
              <w:jc w:val="both"/>
              <w:rPr>
                <w:rFonts w:ascii="Times New Roman" w:hAnsi="Times New Roman"/>
                <w:sz w:val="24"/>
                <w:szCs w:val="24"/>
              </w:rPr>
            </w:pPr>
            <w:r w:rsidRPr="00343034">
              <w:rPr>
                <w:rFonts w:ascii="Times New Roman" w:hAnsi="Times New Roman"/>
                <w:sz w:val="24"/>
                <w:szCs w:val="24"/>
              </w:rPr>
              <w:t>26.53</w:t>
            </w:r>
          </w:p>
        </w:tc>
        <w:tc>
          <w:tcPr>
            <w:tcW w:w="2880" w:type="dxa"/>
            <w:shd w:val="clear" w:color="auto" w:fill="auto"/>
          </w:tcPr>
          <w:p w:rsidR="004A5A97" w:rsidRPr="00343034" w:rsidRDefault="004A5A97" w:rsidP="00343034">
            <w:pPr>
              <w:spacing w:after="0"/>
              <w:jc w:val="both"/>
              <w:rPr>
                <w:rFonts w:ascii="Times New Roman" w:hAnsi="Times New Roman"/>
                <w:sz w:val="24"/>
                <w:szCs w:val="24"/>
              </w:rPr>
            </w:pPr>
            <w:r w:rsidRPr="00343034">
              <w:rPr>
                <w:rFonts w:ascii="Times New Roman" w:hAnsi="Times New Roman"/>
                <w:sz w:val="24"/>
                <w:szCs w:val="24"/>
              </w:rPr>
              <w:t>30.89</w:t>
            </w:r>
          </w:p>
        </w:tc>
        <w:tc>
          <w:tcPr>
            <w:tcW w:w="2448" w:type="dxa"/>
            <w:shd w:val="clear" w:color="auto" w:fill="auto"/>
          </w:tcPr>
          <w:p w:rsidR="004A5A97" w:rsidRPr="00343034" w:rsidRDefault="004A5A97" w:rsidP="00343034">
            <w:pPr>
              <w:spacing w:after="0"/>
              <w:jc w:val="both"/>
              <w:rPr>
                <w:rFonts w:ascii="Times New Roman" w:hAnsi="Times New Roman"/>
                <w:sz w:val="24"/>
                <w:szCs w:val="24"/>
              </w:rPr>
            </w:pPr>
            <w:r w:rsidRPr="00343034">
              <w:rPr>
                <w:rFonts w:ascii="Times New Roman" w:hAnsi="Times New Roman"/>
                <w:sz w:val="24"/>
                <w:szCs w:val="24"/>
              </w:rPr>
              <w:t>39.16</w:t>
            </w:r>
          </w:p>
        </w:tc>
      </w:tr>
      <w:tr w:rsidR="004A5A97" w:rsidRPr="00343034" w:rsidTr="008945C7">
        <w:tc>
          <w:tcPr>
            <w:tcW w:w="1998" w:type="dxa"/>
            <w:shd w:val="clear" w:color="auto" w:fill="auto"/>
          </w:tcPr>
          <w:p w:rsidR="004A5A97" w:rsidRPr="00343034" w:rsidRDefault="004A5A97" w:rsidP="00343034">
            <w:pPr>
              <w:spacing w:after="0"/>
              <w:jc w:val="both"/>
              <w:rPr>
                <w:rFonts w:ascii="Times New Roman" w:hAnsi="Times New Roman"/>
                <w:sz w:val="24"/>
                <w:szCs w:val="24"/>
              </w:rPr>
            </w:pPr>
            <w:r w:rsidRPr="00343034">
              <w:rPr>
                <w:rFonts w:ascii="Times New Roman" w:hAnsi="Times New Roman"/>
                <w:sz w:val="24"/>
                <w:szCs w:val="24"/>
              </w:rPr>
              <w:t>BBS 3</w:t>
            </w:r>
            <w:r w:rsidRPr="00343034">
              <w:rPr>
                <w:rFonts w:ascii="Times New Roman" w:hAnsi="Times New Roman"/>
                <w:sz w:val="24"/>
                <w:szCs w:val="24"/>
                <w:vertAlign w:val="superscript"/>
              </w:rPr>
              <w:t>rd</w:t>
            </w:r>
            <w:r w:rsidRPr="00343034">
              <w:rPr>
                <w:rFonts w:ascii="Times New Roman" w:hAnsi="Times New Roman"/>
                <w:sz w:val="24"/>
                <w:szCs w:val="24"/>
              </w:rPr>
              <w:t xml:space="preserve"> </w:t>
            </w:r>
          </w:p>
        </w:tc>
        <w:tc>
          <w:tcPr>
            <w:tcW w:w="2250" w:type="dxa"/>
            <w:shd w:val="clear" w:color="auto" w:fill="auto"/>
          </w:tcPr>
          <w:p w:rsidR="004A5A97" w:rsidRPr="00343034" w:rsidRDefault="004A5A97" w:rsidP="00343034">
            <w:pPr>
              <w:spacing w:after="0"/>
              <w:jc w:val="both"/>
              <w:rPr>
                <w:rFonts w:ascii="Times New Roman" w:hAnsi="Times New Roman"/>
                <w:sz w:val="24"/>
                <w:szCs w:val="24"/>
              </w:rPr>
            </w:pPr>
            <w:r w:rsidRPr="00343034">
              <w:rPr>
                <w:rFonts w:ascii="Times New Roman" w:hAnsi="Times New Roman"/>
                <w:sz w:val="24"/>
                <w:szCs w:val="24"/>
              </w:rPr>
              <w:t>2.61</w:t>
            </w:r>
          </w:p>
        </w:tc>
        <w:tc>
          <w:tcPr>
            <w:tcW w:w="2880" w:type="dxa"/>
            <w:shd w:val="clear" w:color="auto" w:fill="auto"/>
          </w:tcPr>
          <w:p w:rsidR="004A5A97" w:rsidRPr="00343034" w:rsidRDefault="004A5A97" w:rsidP="00343034">
            <w:pPr>
              <w:spacing w:after="0"/>
              <w:jc w:val="both"/>
              <w:rPr>
                <w:rFonts w:ascii="Times New Roman" w:hAnsi="Times New Roman"/>
                <w:sz w:val="24"/>
                <w:szCs w:val="24"/>
              </w:rPr>
            </w:pPr>
            <w:r w:rsidRPr="00343034">
              <w:rPr>
                <w:rFonts w:ascii="Times New Roman" w:hAnsi="Times New Roman"/>
                <w:sz w:val="24"/>
                <w:szCs w:val="24"/>
              </w:rPr>
              <w:t>20.37</w:t>
            </w:r>
          </w:p>
        </w:tc>
        <w:tc>
          <w:tcPr>
            <w:tcW w:w="2448" w:type="dxa"/>
            <w:shd w:val="clear" w:color="auto" w:fill="auto"/>
          </w:tcPr>
          <w:p w:rsidR="004A5A97" w:rsidRPr="00343034" w:rsidRDefault="004A5A97" w:rsidP="00343034">
            <w:pPr>
              <w:spacing w:after="0"/>
              <w:jc w:val="both"/>
              <w:rPr>
                <w:rFonts w:ascii="Times New Roman" w:hAnsi="Times New Roman"/>
                <w:sz w:val="24"/>
                <w:szCs w:val="24"/>
              </w:rPr>
            </w:pPr>
            <w:r w:rsidRPr="00343034">
              <w:rPr>
                <w:rFonts w:ascii="Times New Roman" w:hAnsi="Times New Roman"/>
                <w:sz w:val="24"/>
                <w:szCs w:val="24"/>
              </w:rPr>
              <w:t>21.21</w:t>
            </w:r>
          </w:p>
        </w:tc>
      </w:tr>
      <w:tr w:rsidR="004A5A97" w:rsidRPr="00343034" w:rsidTr="008945C7">
        <w:tc>
          <w:tcPr>
            <w:tcW w:w="1998" w:type="dxa"/>
            <w:shd w:val="clear" w:color="auto" w:fill="auto"/>
          </w:tcPr>
          <w:p w:rsidR="004A5A97" w:rsidRPr="00343034" w:rsidRDefault="004A5A97" w:rsidP="00343034">
            <w:pPr>
              <w:spacing w:after="0"/>
              <w:jc w:val="both"/>
              <w:rPr>
                <w:rFonts w:ascii="Times New Roman" w:hAnsi="Times New Roman"/>
                <w:sz w:val="24"/>
                <w:szCs w:val="24"/>
              </w:rPr>
            </w:pPr>
            <w:r w:rsidRPr="00343034">
              <w:rPr>
                <w:rFonts w:ascii="Times New Roman" w:hAnsi="Times New Roman"/>
                <w:sz w:val="24"/>
                <w:szCs w:val="24"/>
              </w:rPr>
              <w:t>BBS 4</w:t>
            </w:r>
            <w:r w:rsidRPr="00343034">
              <w:rPr>
                <w:rFonts w:ascii="Times New Roman" w:hAnsi="Times New Roman"/>
                <w:sz w:val="24"/>
                <w:szCs w:val="24"/>
                <w:vertAlign w:val="superscript"/>
              </w:rPr>
              <w:t>th</w:t>
            </w:r>
          </w:p>
        </w:tc>
        <w:tc>
          <w:tcPr>
            <w:tcW w:w="2250" w:type="dxa"/>
            <w:shd w:val="clear" w:color="auto" w:fill="auto"/>
          </w:tcPr>
          <w:p w:rsidR="004A5A97" w:rsidRPr="00343034" w:rsidRDefault="004A5A97" w:rsidP="00343034">
            <w:pPr>
              <w:spacing w:after="0"/>
              <w:jc w:val="both"/>
              <w:rPr>
                <w:rFonts w:ascii="Times New Roman" w:hAnsi="Times New Roman"/>
                <w:sz w:val="24"/>
                <w:szCs w:val="24"/>
              </w:rPr>
            </w:pPr>
            <w:r w:rsidRPr="00343034">
              <w:rPr>
                <w:rFonts w:ascii="Times New Roman" w:hAnsi="Times New Roman"/>
                <w:sz w:val="24"/>
                <w:szCs w:val="24"/>
              </w:rPr>
              <w:t>-6.1</w:t>
            </w:r>
          </w:p>
        </w:tc>
        <w:tc>
          <w:tcPr>
            <w:tcW w:w="2880" w:type="dxa"/>
            <w:shd w:val="clear" w:color="auto" w:fill="auto"/>
          </w:tcPr>
          <w:p w:rsidR="004A5A97" w:rsidRPr="00343034" w:rsidRDefault="004A5A97" w:rsidP="00343034">
            <w:pPr>
              <w:spacing w:after="0"/>
              <w:jc w:val="both"/>
              <w:rPr>
                <w:rFonts w:ascii="Times New Roman" w:hAnsi="Times New Roman"/>
                <w:sz w:val="24"/>
                <w:szCs w:val="24"/>
              </w:rPr>
            </w:pPr>
            <w:r w:rsidRPr="00343034">
              <w:rPr>
                <w:rFonts w:ascii="Times New Roman" w:hAnsi="Times New Roman"/>
                <w:sz w:val="24"/>
                <w:szCs w:val="24"/>
              </w:rPr>
              <w:t>36.61</w:t>
            </w:r>
          </w:p>
        </w:tc>
        <w:tc>
          <w:tcPr>
            <w:tcW w:w="2448" w:type="dxa"/>
            <w:shd w:val="clear" w:color="auto" w:fill="auto"/>
          </w:tcPr>
          <w:p w:rsidR="004A5A97" w:rsidRPr="00343034" w:rsidRDefault="004A5A97" w:rsidP="00343034">
            <w:pPr>
              <w:spacing w:after="0"/>
              <w:jc w:val="both"/>
              <w:rPr>
                <w:rFonts w:ascii="Times New Roman" w:hAnsi="Times New Roman"/>
                <w:sz w:val="24"/>
                <w:szCs w:val="24"/>
              </w:rPr>
            </w:pPr>
            <w:r w:rsidRPr="00343034">
              <w:rPr>
                <w:rFonts w:ascii="Times New Roman" w:hAnsi="Times New Roman"/>
                <w:sz w:val="24"/>
                <w:szCs w:val="24"/>
              </w:rPr>
              <w:t>17.44</w:t>
            </w:r>
          </w:p>
        </w:tc>
      </w:tr>
      <w:tr w:rsidR="004A5A97" w:rsidRPr="00343034" w:rsidTr="008945C7">
        <w:tc>
          <w:tcPr>
            <w:tcW w:w="1998" w:type="dxa"/>
            <w:shd w:val="clear" w:color="auto" w:fill="auto"/>
          </w:tcPr>
          <w:p w:rsidR="004A5A97" w:rsidRPr="00343034" w:rsidRDefault="004A5A97" w:rsidP="00343034">
            <w:pPr>
              <w:spacing w:after="0"/>
              <w:jc w:val="both"/>
              <w:rPr>
                <w:rFonts w:ascii="Times New Roman" w:hAnsi="Times New Roman"/>
                <w:sz w:val="24"/>
                <w:szCs w:val="24"/>
              </w:rPr>
            </w:pPr>
            <w:r w:rsidRPr="00343034">
              <w:rPr>
                <w:rFonts w:ascii="Times New Roman" w:hAnsi="Times New Roman"/>
                <w:sz w:val="24"/>
                <w:szCs w:val="24"/>
              </w:rPr>
              <w:t>B.Ed. 1</w:t>
            </w:r>
            <w:r w:rsidRPr="00343034">
              <w:rPr>
                <w:rFonts w:ascii="Times New Roman" w:hAnsi="Times New Roman"/>
                <w:sz w:val="24"/>
                <w:szCs w:val="24"/>
                <w:vertAlign w:val="superscript"/>
              </w:rPr>
              <w:t>st</w:t>
            </w:r>
            <w:r w:rsidRPr="00343034">
              <w:rPr>
                <w:rFonts w:ascii="Times New Roman" w:hAnsi="Times New Roman"/>
                <w:sz w:val="24"/>
                <w:szCs w:val="24"/>
              </w:rPr>
              <w:t xml:space="preserve"> </w:t>
            </w:r>
          </w:p>
        </w:tc>
        <w:tc>
          <w:tcPr>
            <w:tcW w:w="2250" w:type="dxa"/>
            <w:shd w:val="clear" w:color="auto" w:fill="auto"/>
          </w:tcPr>
          <w:p w:rsidR="004A5A97" w:rsidRPr="00343034" w:rsidRDefault="004A5A97" w:rsidP="00343034">
            <w:pPr>
              <w:spacing w:after="0"/>
              <w:jc w:val="both"/>
              <w:rPr>
                <w:rFonts w:ascii="Times New Roman" w:hAnsi="Times New Roman"/>
                <w:sz w:val="24"/>
                <w:szCs w:val="24"/>
              </w:rPr>
            </w:pPr>
            <w:r w:rsidRPr="00343034">
              <w:rPr>
                <w:rFonts w:ascii="Times New Roman" w:hAnsi="Times New Roman"/>
                <w:sz w:val="24"/>
                <w:szCs w:val="24"/>
              </w:rPr>
              <w:t>27.78</w:t>
            </w:r>
          </w:p>
        </w:tc>
        <w:tc>
          <w:tcPr>
            <w:tcW w:w="2880" w:type="dxa"/>
            <w:shd w:val="clear" w:color="auto" w:fill="auto"/>
          </w:tcPr>
          <w:p w:rsidR="004A5A97" w:rsidRPr="00343034" w:rsidRDefault="004A5A97" w:rsidP="00343034">
            <w:pPr>
              <w:spacing w:after="0"/>
              <w:jc w:val="both"/>
              <w:rPr>
                <w:rFonts w:ascii="Times New Roman" w:hAnsi="Times New Roman"/>
                <w:sz w:val="24"/>
                <w:szCs w:val="24"/>
              </w:rPr>
            </w:pPr>
            <w:r w:rsidRPr="00343034">
              <w:rPr>
                <w:rFonts w:ascii="Times New Roman" w:hAnsi="Times New Roman"/>
                <w:sz w:val="24"/>
                <w:szCs w:val="24"/>
              </w:rPr>
              <w:t>21.43</w:t>
            </w:r>
          </w:p>
        </w:tc>
        <w:tc>
          <w:tcPr>
            <w:tcW w:w="2448" w:type="dxa"/>
            <w:shd w:val="clear" w:color="auto" w:fill="auto"/>
          </w:tcPr>
          <w:p w:rsidR="004A5A97" w:rsidRPr="00343034" w:rsidRDefault="004A5A97" w:rsidP="00343034">
            <w:pPr>
              <w:spacing w:after="0"/>
              <w:jc w:val="both"/>
              <w:rPr>
                <w:rFonts w:ascii="Times New Roman" w:hAnsi="Times New Roman"/>
                <w:sz w:val="24"/>
                <w:szCs w:val="24"/>
              </w:rPr>
            </w:pPr>
            <w:r w:rsidRPr="00343034">
              <w:rPr>
                <w:rFonts w:ascii="Times New Roman" w:hAnsi="Times New Roman"/>
                <w:sz w:val="24"/>
                <w:szCs w:val="24"/>
              </w:rPr>
              <w:t>3.30</w:t>
            </w:r>
          </w:p>
        </w:tc>
      </w:tr>
      <w:tr w:rsidR="004A5A97" w:rsidRPr="00343034" w:rsidTr="008945C7">
        <w:tc>
          <w:tcPr>
            <w:tcW w:w="1998" w:type="dxa"/>
            <w:shd w:val="clear" w:color="auto" w:fill="auto"/>
          </w:tcPr>
          <w:p w:rsidR="004A5A97" w:rsidRPr="00343034" w:rsidRDefault="004A5A97" w:rsidP="00343034">
            <w:pPr>
              <w:spacing w:after="0"/>
              <w:jc w:val="both"/>
              <w:rPr>
                <w:rFonts w:ascii="Times New Roman" w:hAnsi="Times New Roman"/>
                <w:sz w:val="24"/>
                <w:szCs w:val="24"/>
              </w:rPr>
            </w:pPr>
            <w:r w:rsidRPr="00343034">
              <w:rPr>
                <w:rFonts w:ascii="Times New Roman" w:hAnsi="Times New Roman"/>
                <w:sz w:val="24"/>
                <w:szCs w:val="24"/>
              </w:rPr>
              <w:t>B.Ed. 2</w:t>
            </w:r>
            <w:r w:rsidRPr="00343034">
              <w:rPr>
                <w:rFonts w:ascii="Times New Roman" w:hAnsi="Times New Roman"/>
                <w:sz w:val="24"/>
                <w:szCs w:val="24"/>
                <w:vertAlign w:val="superscript"/>
              </w:rPr>
              <w:t>nd</w:t>
            </w:r>
            <w:r w:rsidRPr="00343034">
              <w:rPr>
                <w:rFonts w:ascii="Times New Roman" w:hAnsi="Times New Roman"/>
                <w:sz w:val="24"/>
                <w:szCs w:val="24"/>
              </w:rPr>
              <w:t xml:space="preserve"> </w:t>
            </w:r>
          </w:p>
        </w:tc>
        <w:tc>
          <w:tcPr>
            <w:tcW w:w="2250" w:type="dxa"/>
            <w:shd w:val="clear" w:color="auto" w:fill="auto"/>
          </w:tcPr>
          <w:p w:rsidR="004A5A97" w:rsidRPr="00343034" w:rsidRDefault="004A5A97" w:rsidP="00343034">
            <w:pPr>
              <w:spacing w:after="0"/>
              <w:jc w:val="both"/>
              <w:rPr>
                <w:rFonts w:ascii="Times New Roman" w:hAnsi="Times New Roman"/>
                <w:sz w:val="24"/>
                <w:szCs w:val="24"/>
              </w:rPr>
            </w:pPr>
            <w:r w:rsidRPr="00343034">
              <w:rPr>
                <w:rFonts w:ascii="Times New Roman" w:hAnsi="Times New Roman"/>
                <w:sz w:val="24"/>
                <w:szCs w:val="24"/>
              </w:rPr>
              <w:t>22.73</w:t>
            </w:r>
          </w:p>
        </w:tc>
        <w:tc>
          <w:tcPr>
            <w:tcW w:w="2880" w:type="dxa"/>
            <w:shd w:val="clear" w:color="auto" w:fill="auto"/>
          </w:tcPr>
          <w:p w:rsidR="004A5A97" w:rsidRPr="00343034" w:rsidRDefault="004A5A97" w:rsidP="00343034">
            <w:pPr>
              <w:spacing w:after="0"/>
              <w:jc w:val="both"/>
              <w:rPr>
                <w:rFonts w:ascii="Times New Roman" w:hAnsi="Times New Roman"/>
                <w:sz w:val="24"/>
                <w:szCs w:val="24"/>
              </w:rPr>
            </w:pPr>
            <w:r w:rsidRPr="00343034">
              <w:rPr>
                <w:rFonts w:ascii="Times New Roman" w:hAnsi="Times New Roman"/>
                <w:sz w:val="24"/>
                <w:szCs w:val="24"/>
              </w:rPr>
              <w:t>19.78</w:t>
            </w:r>
          </w:p>
        </w:tc>
        <w:tc>
          <w:tcPr>
            <w:tcW w:w="2448" w:type="dxa"/>
            <w:shd w:val="clear" w:color="auto" w:fill="auto"/>
          </w:tcPr>
          <w:p w:rsidR="004A5A97" w:rsidRPr="00343034" w:rsidRDefault="004A5A97" w:rsidP="00343034">
            <w:pPr>
              <w:spacing w:after="0"/>
              <w:jc w:val="both"/>
              <w:rPr>
                <w:rFonts w:ascii="Times New Roman" w:hAnsi="Times New Roman"/>
                <w:sz w:val="24"/>
                <w:szCs w:val="24"/>
              </w:rPr>
            </w:pPr>
            <w:r w:rsidRPr="00343034">
              <w:rPr>
                <w:rFonts w:ascii="Times New Roman" w:hAnsi="Times New Roman"/>
                <w:sz w:val="24"/>
                <w:szCs w:val="24"/>
              </w:rPr>
              <w:t>40.50</w:t>
            </w:r>
          </w:p>
        </w:tc>
      </w:tr>
      <w:tr w:rsidR="004A5A97" w:rsidRPr="00343034" w:rsidTr="008945C7">
        <w:tc>
          <w:tcPr>
            <w:tcW w:w="1998" w:type="dxa"/>
            <w:shd w:val="clear" w:color="auto" w:fill="auto"/>
          </w:tcPr>
          <w:p w:rsidR="004A5A97" w:rsidRPr="00343034" w:rsidRDefault="004A5A97" w:rsidP="00343034">
            <w:pPr>
              <w:spacing w:after="0"/>
              <w:jc w:val="both"/>
              <w:rPr>
                <w:rFonts w:ascii="Times New Roman" w:hAnsi="Times New Roman"/>
                <w:sz w:val="24"/>
                <w:szCs w:val="24"/>
              </w:rPr>
            </w:pPr>
            <w:r w:rsidRPr="00343034">
              <w:rPr>
                <w:rFonts w:ascii="Times New Roman" w:hAnsi="Times New Roman"/>
                <w:sz w:val="24"/>
                <w:szCs w:val="24"/>
              </w:rPr>
              <w:t>B.Ed. 3</w:t>
            </w:r>
            <w:r w:rsidRPr="00343034">
              <w:rPr>
                <w:rFonts w:ascii="Times New Roman" w:hAnsi="Times New Roman"/>
                <w:sz w:val="24"/>
                <w:szCs w:val="24"/>
                <w:vertAlign w:val="superscript"/>
              </w:rPr>
              <w:t>rd</w:t>
            </w:r>
            <w:r w:rsidRPr="00343034">
              <w:rPr>
                <w:rFonts w:ascii="Times New Roman" w:hAnsi="Times New Roman"/>
                <w:sz w:val="24"/>
                <w:szCs w:val="24"/>
              </w:rPr>
              <w:t xml:space="preserve"> </w:t>
            </w:r>
          </w:p>
        </w:tc>
        <w:tc>
          <w:tcPr>
            <w:tcW w:w="2250" w:type="dxa"/>
            <w:shd w:val="clear" w:color="auto" w:fill="auto"/>
          </w:tcPr>
          <w:p w:rsidR="004A5A97" w:rsidRPr="00343034" w:rsidRDefault="004A5A97" w:rsidP="00343034">
            <w:pPr>
              <w:spacing w:after="0"/>
              <w:jc w:val="both"/>
              <w:rPr>
                <w:rFonts w:ascii="Times New Roman" w:hAnsi="Times New Roman"/>
                <w:sz w:val="24"/>
                <w:szCs w:val="24"/>
              </w:rPr>
            </w:pPr>
            <w:r w:rsidRPr="00343034">
              <w:rPr>
                <w:rFonts w:ascii="Times New Roman" w:hAnsi="Times New Roman"/>
                <w:sz w:val="24"/>
                <w:szCs w:val="24"/>
              </w:rPr>
              <w:t>28.57</w:t>
            </w:r>
          </w:p>
        </w:tc>
        <w:tc>
          <w:tcPr>
            <w:tcW w:w="2880" w:type="dxa"/>
            <w:shd w:val="clear" w:color="auto" w:fill="auto"/>
          </w:tcPr>
          <w:p w:rsidR="004A5A97" w:rsidRPr="00343034" w:rsidRDefault="004A5A97" w:rsidP="00343034">
            <w:pPr>
              <w:spacing w:after="0"/>
              <w:jc w:val="both"/>
              <w:rPr>
                <w:rFonts w:ascii="Times New Roman" w:hAnsi="Times New Roman"/>
                <w:sz w:val="24"/>
                <w:szCs w:val="24"/>
              </w:rPr>
            </w:pPr>
            <w:r w:rsidRPr="00343034">
              <w:rPr>
                <w:rFonts w:ascii="Times New Roman" w:hAnsi="Times New Roman"/>
                <w:sz w:val="24"/>
                <w:szCs w:val="24"/>
              </w:rPr>
              <w:t>-29.41</w:t>
            </w:r>
          </w:p>
        </w:tc>
        <w:tc>
          <w:tcPr>
            <w:tcW w:w="2448" w:type="dxa"/>
            <w:shd w:val="clear" w:color="auto" w:fill="auto"/>
          </w:tcPr>
          <w:p w:rsidR="004A5A97" w:rsidRPr="00343034" w:rsidRDefault="004A5A97" w:rsidP="00343034">
            <w:pPr>
              <w:spacing w:after="0"/>
              <w:jc w:val="both"/>
              <w:rPr>
                <w:rFonts w:ascii="Times New Roman" w:hAnsi="Times New Roman"/>
                <w:sz w:val="24"/>
                <w:szCs w:val="24"/>
              </w:rPr>
            </w:pPr>
            <w:r w:rsidRPr="00343034">
              <w:rPr>
                <w:rFonts w:ascii="Times New Roman" w:hAnsi="Times New Roman"/>
                <w:sz w:val="24"/>
                <w:szCs w:val="24"/>
              </w:rPr>
              <w:t>10.96</w:t>
            </w:r>
          </w:p>
        </w:tc>
      </w:tr>
      <w:tr w:rsidR="004A5A97" w:rsidRPr="00343034" w:rsidTr="008945C7">
        <w:tc>
          <w:tcPr>
            <w:tcW w:w="1998" w:type="dxa"/>
            <w:shd w:val="clear" w:color="auto" w:fill="auto"/>
          </w:tcPr>
          <w:p w:rsidR="004A5A97" w:rsidRPr="00343034" w:rsidRDefault="004A5A97" w:rsidP="00343034">
            <w:pPr>
              <w:spacing w:after="0"/>
              <w:jc w:val="both"/>
              <w:rPr>
                <w:rFonts w:ascii="Times New Roman" w:hAnsi="Times New Roman"/>
                <w:sz w:val="24"/>
                <w:szCs w:val="24"/>
              </w:rPr>
            </w:pPr>
            <w:r w:rsidRPr="00343034">
              <w:rPr>
                <w:rFonts w:ascii="Times New Roman" w:hAnsi="Times New Roman"/>
                <w:sz w:val="24"/>
                <w:szCs w:val="24"/>
              </w:rPr>
              <w:t>B.Ed. 4</w:t>
            </w:r>
            <w:r w:rsidRPr="00343034">
              <w:rPr>
                <w:rFonts w:ascii="Times New Roman" w:hAnsi="Times New Roman"/>
                <w:sz w:val="24"/>
                <w:szCs w:val="24"/>
                <w:vertAlign w:val="superscript"/>
              </w:rPr>
              <w:t>th</w:t>
            </w:r>
            <w:r w:rsidRPr="00343034">
              <w:rPr>
                <w:rFonts w:ascii="Times New Roman" w:hAnsi="Times New Roman"/>
                <w:sz w:val="24"/>
                <w:szCs w:val="24"/>
              </w:rPr>
              <w:t xml:space="preserve"> </w:t>
            </w:r>
          </w:p>
        </w:tc>
        <w:tc>
          <w:tcPr>
            <w:tcW w:w="2250" w:type="dxa"/>
            <w:shd w:val="clear" w:color="auto" w:fill="auto"/>
          </w:tcPr>
          <w:p w:rsidR="004A5A97" w:rsidRPr="00343034" w:rsidRDefault="004A5A97" w:rsidP="00343034">
            <w:pPr>
              <w:spacing w:after="0"/>
              <w:jc w:val="both"/>
              <w:rPr>
                <w:rFonts w:ascii="Times New Roman" w:hAnsi="Times New Roman"/>
                <w:sz w:val="24"/>
                <w:szCs w:val="24"/>
              </w:rPr>
            </w:pPr>
            <w:r w:rsidRPr="00343034">
              <w:rPr>
                <w:rFonts w:ascii="Times New Roman" w:hAnsi="Times New Roman"/>
                <w:sz w:val="24"/>
                <w:szCs w:val="24"/>
              </w:rPr>
              <w:t>0.00</w:t>
            </w:r>
          </w:p>
        </w:tc>
        <w:tc>
          <w:tcPr>
            <w:tcW w:w="2880" w:type="dxa"/>
            <w:shd w:val="clear" w:color="auto" w:fill="auto"/>
          </w:tcPr>
          <w:p w:rsidR="004A5A97" w:rsidRPr="00343034" w:rsidRDefault="004A5A97" w:rsidP="00343034">
            <w:pPr>
              <w:spacing w:after="0"/>
              <w:jc w:val="both"/>
              <w:rPr>
                <w:rFonts w:ascii="Times New Roman" w:hAnsi="Times New Roman"/>
                <w:sz w:val="24"/>
                <w:szCs w:val="24"/>
              </w:rPr>
            </w:pPr>
            <w:r w:rsidRPr="00343034">
              <w:rPr>
                <w:rFonts w:ascii="Times New Roman" w:hAnsi="Times New Roman"/>
                <w:sz w:val="24"/>
                <w:szCs w:val="24"/>
              </w:rPr>
              <w:t>-20.00</w:t>
            </w:r>
          </w:p>
        </w:tc>
        <w:tc>
          <w:tcPr>
            <w:tcW w:w="2448" w:type="dxa"/>
            <w:shd w:val="clear" w:color="auto" w:fill="auto"/>
          </w:tcPr>
          <w:p w:rsidR="004A5A97" w:rsidRPr="00343034" w:rsidRDefault="004A5A97" w:rsidP="00343034">
            <w:pPr>
              <w:spacing w:after="0"/>
              <w:jc w:val="both"/>
              <w:rPr>
                <w:rFonts w:ascii="Times New Roman" w:hAnsi="Times New Roman"/>
                <w:sz w:val="24"/>
                <w:szCs w:val="24"/>
              </w:rPr>
            </w:pPr>
            <w:r w:rsidRPr="00343034">
              <w:rPr>
                <w:rFonts w:ascii="Times New Roman" w:hAnsi="Times New Roman"/>
                <w:sz w:val="24"/>
                <w:szCs w:val="24"/>
              </w:rPr>
              <w:t>18.18</w:t>
            </w:r>
          </w:p>
        </w:tc>
      </w:tr>
      <w:tr w:rsidR="004A5A97" w:rsidRPr="00343034" w:rsidTr="008945C7">
        <w:tc>
          <w:tcPr>
            <w:tcW w:w="1998" w:type="dxa"/>
            <w:shd w:val="clear" w:color="auto" w:fill="auto"/>
          </w:tcPr>
          <w:p w:rsidR="004A5A97" w:rsidRPr="00343034" w:rsidRDefault="004A5A97" w:rsidP="00343034">
            <w:pPr>
              <w:spacing w:after="0"/>
              <w:jc w:val="both"/>
              <w:rPr>
                <w:rFonts w:ascii="Times New Roman" w:hAnsi="Times New Roman"/>
                <w:sz w:val="24"/>
                <w:szCs w:val="24"/>
              </w:rPr>
            </w:pPr>
            <w:r w:rsidRPr="00343034">
              <w:rPr>
                <w:rFonts w:ascii="Times New Roman" w:hAnsi="Times New Roman"/>
                <w:sz w:val="24"/>
                <w:szCs w:val="24"/>
              </w:rPr>
              <w:t>MBS 1</w:t>
            </w:r>
            <w:r w:rsidRPr="00343034">
              <w:rPr>
                <w:rFonts w:ascii="Times New Roman" w:hAnsi="Times New Roman"/>
                <w:sz w:val="24"/>
                <w:szCs w:val="24"/>
                <w:vertAlign w:val="superscript"/>
              </w:rPr>
              <w:t>st</w:t>
            </w:r>
            <w:r w:rsidRPr="00343034">
              <w:rPr>
                <w:rFonts w:ascii="Times New Roman" w:hAnsi="Times New Roman"/>
                <w:sz w:val="24"/>
                <w:szCs w:val="24"/>
              </w:rPr>
              <w:t xml:space="preserve"> Semester</w:t>
            </w:r>
          </w:p>
        </w:tc>
        <w:tc>
          <w:tcPr>
            <w:tcW w:w="2250" w:type="dxa"/>
            <w:shd w:val="clear" w:color="auto" w:fill="auto"/>
          </w:tcPr>
          <w:p w:rsidR="004A5A97" w:rsidRPr="00343034" w:rsidRDefault="004A5A97" w:rsidP="00343034">
            <w:pPr>
              <w:spacing w:after="0"/>
              <w:jc w:val="both"/>
              <w:rPr>
                <w:rFonts w:ascii="Times New Roman" w:hAnsi="Times New Roman"/>
                <w:sz w:val="24"/>
                <w:szCs w:val="24"/>
              </w:rPr>
            </w:pPr>
            <w:r w:rsidRPr="00343034">
              <w:rPr>
                <w:rFonts w:ascii="Times New Roman" w:hAnsi="Times New Roman"/>
                <w:sz w:val="24"/>
                <w:szCs w:val="24"/>
              </w:rPr>
              <w:t>3.13</w:t>
            </w:r>
          </w:p>
        </w:tc>
        <w:tc>
          <w:tcPr>
            <w:tcW w:w="2880" w:type="dxa"/>
            <w:shd w:val="clear" w:color="auto" w:fill="auto"/>
          </w:tcPr>
          <w:p w:rsidR="004A5A97" w:rsidRPr="00343034" w:rsidRDefault="004A5A97" w:rsidP="00343034">
            <w:pPr>
              <w:spacing w:after="0"/>
              <w:jc w:val="both"/>
              <w:rPr>
                <w:rFonts w:ascii="Times New Roman" w:hAnsi="Times New Roman"/>
                <w:sz w:val="24"/>
                <w:szCs w:val="24"/>
              </w:rPr>
            </w:pPr>
            <w:r w:rsidRPr="00343034">
              <w:rPr>
                <w:rFonts w:ascii="Times New Roman" w:hAnsi="Times New Roman"/>
                <w:sz w:val="24"/>
                <w:szCs w:val="24"/>
              </w:rPr>
              <w:t>12.90</w:t>
            </w:r>
          </w:p>
        </w:tc>
        <w:tc>
          <w:tcPr>
            <w:tcW w:w="2448" w:type="dxa"/>
            <w:shd w:val="clear" w:color="auto" w:fill="auto"/>
          </w:tcPr>
          <w:p w:rsidR="004A5A97" w:rsidRPr="00343034" w:rsidRDefault="004A5A97" w:rsidP="00343034">
            <w:pPr>
              <w:spacing w:after="0"/>
              <w:jc w:val="both"/>
              <w:rPr>
                <w:rFonts w:ascii="Times New Roman" w:hAnsi="Times New Roman"/>
                <w:sz w:val="24"/>
                <w:szCs w:val="24"/>
              </w:rPr>
            </w:pPr>
            <w:r w:rsidRPr="00343034">
              <w:rPr>
                <w:rFonts w:ascii="Times New Roman" w:hAnsi="Times New Roman"/>
                <w:sz w:val="24"/>
                <w:szCs w:val="24"/>
              </w:rPr>
              <w:t>2.22</w:t>
            </w:r>
          </w:p>
        </w:tc>
      </w:tr>
      <w:tr w:rsidR="004A5A97" w:rsidRPr="00343034" w:rsidTr="008945C7">
        <w:tc>
          <w:tcPr>
            <w:tcW w:w="1998" w:type="dxa"/>
            <w:shd w:val="clear" w:color="auto" w:fill="auto"/>
          </w:tcPr>
          <w:p w:rsidR="004A5A97" w:rsidRPr="00343034" w:rsidRDefault="004A5A97" w:rsidP="00343034">
            <w:pPr>
              <w:spacing w:after="0"/>
              <w:jc w:val="both"/>
              <w:rPr>
                <w:rFonts w:ascii="Times New Roman" w:hAnsi="Times New Roman"/>
                <w:sz w:val="24"/>
                <w:szCs w:val="24"/>
              </w:rPr>
            </w:pPr>
            <w:r w:rsidRPr="00343034">
              <w:rPr>
                <w:rFonts w:ascii="Times New Roman" w:hAnsi="Times New Roman"/>
                <w:sz w:val="24"/>
                <w:szCs w:val="24"/>
              </w:rPr>
              <w:t>MBS 2</w:t>
            </w:r>
            <w:r w:rsidRPr="00343034">
              <w:rPr>
                <w:rFonts w:ascii="Times New Roman" w:hAnsi="Times New Roman"/>
                <w:sz w:val="24"/>
                <w:szCs w:val="24"/>
                <w:vertAlign w:val="superscript"/>
              </w:rPr>
              <w:t>nd</w:t>
            </w:r>
            <w:r w:rsidRPr="00343034">
              <w:rPr>
                <w:rFonts w:ascii="Times New Roman" w:hAnsi="Times New Roman"/>
                <w:sz w:val="24"/>
                <w:szCs w:val="24"/>
              </w:rPr>
              <w:t xml:space="preserve"> Semester</w:t>
            </w:r>
          </w:p>
        </w:tc>
        <w:tc>
          <w:tcPr>
            <w:tcW w:w="2250" w:type="dxa"/>
            <w:shd w:val="clear" w:color="auto" w:fill="auto"/>
          </w:tcPr>
          <w:p w:rsidR="004A5A97" w:rsidRPr="00343034" w:rsidRDefault="004905C5" w:rsidP="00343034">
            <w:pPr>
              <w:spacing w:after="0"/>
              <w:jc w:val="both"/>
              <w:rPr>
                <w:rFonts w:ascii="Times New Roman" w:hAnsi="Times New Roman"/>
                <w:sz w:val="24"/>
                <w:szCs w:val="24"/>
              </w:rPr>
            </w:pPr>
            <w:r w:rsidRPr="00343034">
              <w:rPr>
                <w:rFonts w:ascii="Times New Roman" w:hAnsi="Times New Roman"/>
                <w:sz w:val="24"/>
                <w:szCs w:val="24"/>
              </w:rPr>
              <w:t>NA</w:t>
            </w:r>
          </w:p>
        </w:tc>
        <w:tc>
          <w:tcPr>
            <w:tcW w:w="2880" w:type="dxa"/>
            <w:shd w:val="clear" w:color="auto" w:fill="auto"/>
          </w:tcPr>
          <w:p w:rsidR="004A5A97" w:rsidRPr="00343034" w:rsidRDefault="004A5A97" w:rsidP="00343034">
            <w:pPr>
              <w:spacing w:after="0"/>
              <w:jc w:val="both"/>
              <w:rPr>
                <w:rFonts w:ascii="Times New Roman" w:hAnsi="Times New Roman"/>
                <w:sz w:val="24"/>
                <w:szCs w:val="24"/>
              </w:rPr>
            </w:pPr>
            <w:r w:rsidRPr="00343034">
              <w:rPr>
                <w:rFonts w:ascii="Times New Roman" w:hAnsi="Times New Roman"/>
                <w:sz w:val="24"/>
                <w:szCs w:val="24"/>
              </w:rPr>
              <w:t>6.25</w:t>
            </w:r>
          </w:p>
        </w:tc>
        <w:tc>
          <w:tcPr>
            <w:tcW w:w="2448" w:type="dxa"/>
            <w:shd w:val="clear" w:color="auto" w:fill="auto"/>
          </w:tcPr>
          <w:p w:rsidR="004A5A97" w:rsidRPr="00343034" w:rsidRDefault="004A5A97" w:rsidP="00343034">
            <w:pPr>
              <w:spacing w:after="0"/>
              <w:jc w:val="both"/>
              <w:rPr>
                <w:rFonts w:ascii="Times New Roman" w:hAnsi="Times New Roman"/>
                <w:sz w:val="24"/>
                <w:szCs w:val="24"/>
              </w:rPr>
            </w:pPr>
            <w:r w:rsidRPr="00343034">
              <w:rPr>
                <w:rFonts w:ascii="Times New Roman" w:hAnsi="Times New Roman"/>
                <w:sz w:val="24"/>
                <w:szCs w:val="24"/>
              </w:rPr>
              <w:t>0.00</w:t>
            </w:r>
          </w:p>
        </w:tc>
      </w:tr>
      <w:tr w:rsidR="004A5A97" w:rsidRPr="00343034" w:rsidTr="008945C7">
        <w:tc>
          <w:tcPr>
            <w:tcW w:w="1998" w:type="dxa"/>
            <w:shd w:val="clear" w:color="auto" w:fill="auto"/>
          </w:tcPr>
          <w:p w:rsidR="004A5A97" w:rsidRPr="00343034" w:rsidRDefault="004A5A97" w:rsidP="00343034">
            <w:pPr>
              <w:spacing w:after="0"/>
              <w:jc w:val="both"/>
              <w:rPr>
                <w:rFonts w:ascii="Times New Roman" w:hAnsi="Times New Roman"/>
                <w:sz w:val="24"/>
                <w:szCs w:val="24"/>
              </w:rPr>
            </w:pPr>
            <w:r w:rsidRPr="00343034">
              <w:rPr>
                <w:rFonts w:ascii="Times New Roman" w:hAnsi="Times New Roman"/>
                <w:sz w:val="24"/>
                <w:szCs w:val="24"/>
              </w:rPr>
              <w:t>MA 1</w:t>
            </w:r>
            <w:r w:rsidRPr="00343034">
              <w:rPr>
                <w:rFonts w:ascii="Times New Roman" w:hAnsi="Times New Roman"/>
                <w:sz w:val="24"/>
                <w:szCs w:val="24"/>
                <w:vertAlign w:val="superscript"/>
              </w:rPr>
              <w:t>st</w:t>
            </w:r>
            <w:r w:rsidRPr="00343034">
              <w:rPr>
                <w:rFonts w:ascii="Times New Roman" w:hAnsi="Times New Roman"/>
                <w:sz w:val="24"/>
                <w:szCs w:val="24"/>
              </w:rPr>
              <w:t xml:space="preserve"> Semester</w:t>
            </w:r>
          </w:p>
        </w:tc>
        <w:tc>
          <w:tcPr>
            <w:tcW w:w="2250" w:type="dxa"/>
            <w:shd w:val="clear" w:color="auto" w:fill="auto"/>
          </w:tcPr>
          <w:p w:rsidR="004A5A97" w:rsidRPr="00343034" w:rsidRDefault="004905C5" w:rsidP="00343034">
            <w:pPr>
              <w:spacing w:after="0"/>
              <w:jc w:val="both"/>
              <w:rPr>
                <w:rFonts w:ascii="Times New Roman" w:hAnsi="Times New Roman"/>
                <w:sz w:val="24"/>
                <w:szCs w:val="24"/>
              </w:rPr>
            </w:pPr>
            <w:r w:rsidRPr="00343034">
              <w:rPr>
                <w:rFonts w:ascii="Times New Roman" w:hAnsi="Times New Roman"/>
                <w:sz w:val="24"/>
                <w:szCs w:val="24"/>
              </w:rPr>
              <w:t>NA</w:t>
            </w:r>
          </w:p>
        </w:tc>
        <w:tc>
          <w:tcPr>
            <w:tcW w:w="2880" w:type="dxa"/>
            <w:shd w:val="clear" w:color="auto" w:fill="auto"/>
          </w:tcPr>
          <w:p w:rsidR="004A5A97" w:rsidRPr="00343034" w:rsidRDefault="004A5A97" w:rsidP="00343034">
            <w:pPr>
              <w:spacing w:after="0"/>
              <w:jc w:val="both"/>
              <w:rPr>
                <w:rFonts w:ascii="Times New Roman" w:hAnsi="Times New Roman"/>
                <w:sz w:val="24"/>
                <w:szCs w:val="24"/>
              </w:rPr>
            </w:pPr>
            <w:r w:rsidRPr="00343034">
              <w:rPr>
                <w:rFonts w:ascii="Times New Roman" w:hAnsi="Times New Roman"/>
                <w:sz w:val="24"/>
                <w:szCs w:val="24"/>
              </w:rPr>
              <w:t>11.43</w:t>
            </w:r>
          </w:p>
        </w:tc>
        <w:tc>
          <w:tcPr>
            <w:tcW w:w="2448" w:type="dxa"/>
            <w:shd w:val="clear" w:color="auto" w:fill="auto"/>
          </w:tcPr>
          <w:p w:rsidR="004A5A97" w:rsidRPr="00343034" w:rsidRDefault="004A5A97" w:rsidP="00343034">
            <w:pPr>
              <w:spacing w:after="0"/>
              <w:jc w:val="both"/>
              <w:rPr>
                <w:rFonts w:ascii="Times New Roman" w:hAnsi="Times New Roman"/>
                <w:sz w:val="24"/>
                <w:szCs w:val="24"/>
              </w:rPr>
            </w:pPr>
            <w:r w:rsidRPr="00343034">
              <w:rPr>
                <w:rFonts w:ascii="Times New Roman" w:hAnsi="Times New Roman"/>
                <w:sz w:val="24"/>
                <w:szCs w:val="24"/>
              </w:rPr>
              <w:t>4.69</w:t>
            </w:r>
          </w:p>
        </w:tc>
      </w:tr>
      <w:tr w:rsidR="004A5A97" w:rsidRPr="00343034" w:rsidTr="008945C7">
        <w:tc>
          <w:tcPr>
            <w:tcW w:w="1998" w:type="dxa"/>
            <w:shd w:val="clear" w:color="auto" w:fill="auto"/>
          </w:tcPr>
          <w:p w:rsidR="004A5A97" w:rsidRPr="00343034" w:rsidRDefault="004A5A97" w:rsidP="00343034">
            <w:pPr>
              <w:spacing w:after="0"/>
              <w:jc w:val="both"/>
              <w:rPr>
                <w:rFonts w:ascii="Times New Roman" w:hAnsi="Times New Roman"/>
                <w:sz w:val="24"/>
                <w:szCs w:val="24"/>
              </w:rPr>
            </w:pPr>
            <w:r w:rsidRPr="00343034">
              <w:rPr>
                <w:rFonts w:ascii="Times New Roman" w:hAnsi="Times New Roman"/>
                <w:sz w:val="24"/>
                <w:szCs w:val="24"/>
              </w:rPr>
              <w:t>MA 2</w:t>
            </w:r>
            <w:r w:rsidRPr="00343034">
              <w:rPr>
                <w:rFonts w:ascii="Times New Roman" w:hAnsi="Times New Roman"/>
                <w:sz w:val="24"/>
                <w:szCs w:val="24"/>
                <w:vertAlign w:val="superscript"/>
              </w:rPr>
              <w:t>nd</w:t>
            </w:r>
            <w:r w:rsidRPr="00343034">
              <w:rPr>
                <w:rFonts w:ascii="Times New Roman" w:hAnsi="Times New Roman"/>
                <w:sz w:val="24"/>
                <w:szCs w:val="24"/>
              </w:rPr>
              <w:t xml:space="preserve"> Semester</w:t>
            </w:r>
          </w:p>
        </w:tc>
        <w:tc>
          <w:tcPr>
            <w:tcW w:w="2250" w:type="dxa"/>
            <w:shd w:val="clear" w:color="auto" w:fill="auto"/>
          </w:tcPr>
          <w:p w:rsidR="004A5A97" w:rsidRPr="00343034" w:rsidRDefault="004A5A97" w:rsidP="00343034">
            <w:pPr>
              <w:spacing w:after="0"/>
              <w:jc w:val="both"/>
              <w:rPr>
                <w:rFonts w:ascii="Times New Roman" w:hAnsi="Times New Roman"/>
                <w:sz w:val="24"/>
                <w:szCs w:val="24"/>
              </w:rPr>
            </w:pPr>
            <w:r w:rsidRPr="00343034">
              <w:rPr>
                <w:rFonts w:ascii="Times New Roman" w:hAnsi="Times New Roman"/>
                <w:sz w:val="24"/>
                <w:szCs w:val="24"/>
              </w:rPr>
              <w:t>2.56</w:t>
            </w:r>
          </w:p>
        </w:tc>
        <w:tc>
          <w:tcPr>
            <w:tcW w:w="2880" w:type="dxa"/>
            <w:shd w:val="clear" w:color="auto" w:fill="auto"/>
          </w:tcPr>
          <w:p w:rsidR="004A5A97" w:rsidRPr="00343034" w:rsidRDefault="004A5A97" w:rsidP="00343034">
            <w:pPr>
              <w:spacing w:after="0"/>
              <w:jc w:val="both"/>
              <w:rPr>
                <w:rFonts w:ascii="Times New Roman" w:hAnsi="Times New Roman"/>
                <w:sz w:val="24"/>
                <w:szCs w:val="24"/>
              </w:rPr>
            </w:pPr>
            <w:r w:rsidRPr="00343034">
              <w:rPr>
                <w:rFonts w:ascii="Times New Roman" w:hAnsi="Times New Roman"/>
                <w:sz w:val="24"/>
                <w:szCs w:val="24"/>
              </w:rPr>
              <w:t>6.45</w:t>
            </w:r>
          </w:p>
        </w:tc>
        <w:tc>
          <w:tcPr>
            <w:tcW w:w="2448" w:type="dxa"/>
            <w:shd w:val="clear" w:color="auto" w:fill="auto"/>
          </w:tcPr>
          <w:p w:rsidR="004A5A97" w:rsidRPr="00343034" w:rsidRDefault="004A5A97" w:rsidP="00343034">
            <w:pPr>
              <w:spacing w:after="0"/>
              <w:jc w:val="both"/>
              <w:rPr>
                <w:rFonts w:ascii="Times New Roman" w:hAnsi="Times New Roman"/>
                <w:sz w:val="24"/>
                <w:szCs w:val="24"/>
              </w:rPr>
            </w:pPr>
            <w:r w:rsidRPr="00343034">
              <w:rPr>
                <w:rFonts w:ascii="Times New Roman" w:hAnsi="Times New Roman"/>
                <w:sz w:val="24"/>
                <w:szCs w:val="24"/>
              </w:rPr>
              <w:t>4.76</w:t>
            </w:r>
          </w:p>
        </w:tc>
      </w:tr>
      <w:tr w:rsidR="004A5A97" w:rsidRPr="00343034" w:rsidTr="008945C7">
        <w:tc>
          <w:tcPr>
            <w:tcW w:w="1998" w:type="dxa"/>
            <w:shd w:val="clear" w:color="auto" w:fill="auto"/>
          </w:tcPr>
          <w:p w:rsidR="004A5A97" w:rsidRPr="00343034" w:rsidRDefault="004A5A97" w:rsidP="00343034">
            <w:pPr>
              <w:spacing w:after="0"/>
              <w:jc w:val="both"/>
              <w:rPr>
                <w:rFonts w:ascii="Times New Roman" w:hAnsi="Times New Roman"/>
                <w:sz w:val="24"/>
                <w:szCs w:val="24"/>
              </w:rPr>
            </w:pPr>
            <w:r w:rsidRPr="00343034">
              <w:rPr>
                <w:rFonts w:ascii="Times New Roman" w:hAnsi="Times New Roman"/>
                <w:sz w:val="24"/>
                <w:szCs w:val="24"/>
              </w:rPr>
              <w:t>MA 3</w:t>
            </w:r>
            <w:r w:rsidRPr="00343034">
              <w:rPr>
                <w:rFonts w:ascii="Times New Roman" w:hAnsi="Times New Roman"/>
                <w:sz w:val="24"/>
                <w:szCs w:val="24"/>
                <w:vertAlign w:val="superscript"/>
              </w:rPr>
              <w:t>rd</w:t>
            </w:r>
            <w:r w:rsidRPr="00343034">
              <w:rPr>
                <w:rFonts w:ascii="Times New Roman" w:hAnsi="Times New Roman"/>
                <w:sz w:val="24"/>
                <w:szCs w:val="24"/>
              </w:rPr>
              <w:t xml:space="preserve"> Semester</w:t>
            </w:r>
          </w:p>
        </w:tc>
        <w:tc>
          <w:tcPr>
            <w:tcW w:w="2250" w:type="dxa"/>
            <w:shd w:val="clear" w:color="auto" w:fill="auto"/>
          </w:tcPr>
          <w:p w:rsidR="004A5A97" w:rsidRPr="00343034" w:rsidRDefault="004905C5" w:rsidP="00343034">
            <w:pPr>
              <w:spacing w:after="0"/>
              <w:jc w:val="both"/>
              <w:rPr>
                <w:rFonts w:ascii="Times New Roman" w:hAnsi="Times New Roman"/>
                <w:sz w:val="24"/>
                <w:szCs w:val="24"/>
              </w:rPr>
            </w:pPr>
            <w:r w:rsidRPr="00343034">
              <w:rPr>
                <w:rFonts w:ascii="Times New Roman" w:hAnsi="Times New Roman"/>
                <w:sz w:val="24"/>
                <w:szCs w:val="24"/>
              </w:rPr>
              <w:t>NA</w:t>
            </w:r>
          </w:p>
        </w:tc>
        <w:tc>
          <w:tcPr>
            <w:tcW w:w="2880" w:type="dxa"/>
            <w:shd w:val="clear" w:color="auto" w:fill="auto"/>
          </w:tcPr>
          <w:p w:rsidR="004A5A97" w:rsidRPr="00343034" w:rsidRDefault="004A5A97" w:rsidP="00343034">
            <w:pPr>
              <w:spacing w:after="0"/>
              <w:jc w:val="both"/>
              <w:rPr>
                <w:rFonts w:ascii="Times New Roman" w:hAnsi="Times New Roman"/>
                <w:sz w:val="24"/>
                <w:szCs w:val="24"/>
              </w:rPr>
            </w:pPr>
            <w:r w:rsidRPr="00343034">
              <w:rPr>
                <w:rFonts w:ascii="Times New Roman" w:hAnsi="Times New Roman"/>
                <w:sz w:val="24"/>
                <w:szCs w:val="24"/>
              </w:rPr>
              <w:t>0.00</w:t>
            </w:r>
          </w:p>
        </w:tc>
        <w:tc>
          <w:tcPr>
            <w:tcW w:w="2448" w:type="dxa"/>
            <w:shd w:val="clear" w:color="auto" w:fill="auto"/>
          </w:tcPr>
          <w:p w:rsidR="004A5A97" w:rsidRPr="00343034" w:rsidRDefault="004A5A97" w:rsidP="00343034">
            <w:pPr>
              <w:spacing w:after="0"/>
              <w:jc w:val="both"/>
              <w:rPr>
                <w:rFonts w:ascii="Times New Roman" w:hAnsi="Times New Roman"/>
                <w:sz w:val="24"/>
                <w:szCs w:val="24"/>
              </w:rPr>
            </w:pPr>
            <w:r w:rsidRPr="00343034">
              <w:rPr>
                <w:rFonts w:ascii="Times New Roman" w:hAnsi="Times New Roman"/>
                <w:sz w:val="24"/>
                <w:szCs w:val="24"/>
              </w:rPr>
              <w:t>0.00</w:t>
            </w:r>
          </w:p>
        </w:tc>
      </w:tr>
      <w:tr w:rsidR="004A5A97" w:rsidRPr="00343034" w:rsidTr="008945C7">
        <w:tc>
          <w:tcPr>
            <w:tcW w:w="1998" w:type="dxa"/>
            <w:shd w:val="clear" w:color="auto" w:fill="auto"/>
          </w:tcPr>
          <w:p w:rsidR="004A5A97" w:rsidRPr="00343034" w:rsidRDefault="004A5A97" w:rsidP="00343034">
            <w:pPr>
              <w:spacing w:after="0"/>
              <w:jc w:val="both"/>
              <w:rPr>
                <w:rFonts w:ascii="Times New Roman" w:hAnsi="Times New Roman"/>
                <w:sz w:val="24"/>
                <w:szCs w:val="24"/>
              </w:rPr>
            </w:pPr>
            <w:r w:rsidRPr="00343034">
              <w:rPr>
                <w:rFonts w:ascii="Times New Roman" w:hAnsi="Times New Roman"/>
                <w:sz w:val="24"/>
                <w:szCs w:val="24"/>
              </w:rPr>
              <w:t>M.Ed. 1</w:t>
            </w:r>
            <w:r w:rsidRPr="00343034">
              <w:rPr>
                <w:rFonts w:ascii="Times New Roman" w:hAnsi="Times New Roman"/>
                <w:sz w:val="24"/>
                <w:szCs w:val="24"/>
                <w:vertAlign w:val="superscript"/>
              </w:rPr>
              <w:t>st</w:t>
            </w:r>
            <w:r w:rsidRPr="00343034">
              <w:rPr>
                <w:rFonts w:ascii="Times New Roman" w:hAnsi="Times New Roman"/>
                <w:sz w:val="24"/>
                <w:szCs w:val="24"/>
              </w:rPr>
              <w:t xml:space="preserve"> Semester</w:t>
            </w:r>
          </w:p>
        </w:tc>
        <w:tc>
          <w:tcPr>
            <w:tcW w:w="2250" w:type="dxa"/>
            <w:shd w:val="clear" w:color="auto" w:fill="auto"/>
          </w:tcPr>
          <w:p w:rsidR="004A5A97" w:rsidRPr="00343034" w:rsidRDefault="004A5A97" w:rsidP="00343034">
            <w:pPr>
              <w:spacing w:after="0"/>
              <w:jc w:val="both"/>
              <w:rPr>
                <w:rFonts w:ascii="Times New Roman" w:hAnsi="Times New Roman"/>
                <w:sz w:val="24"/>
                <w:szCs w:val="24"/>
              </w:rPr>
            </w:pPr>
            <w:r w:rsidRPr="00343034">
              <w:rPr>
                <w:rFonts w:ascii="Times New Roman" w:hAnsi="Times New Roman"/>
                <w:sz w:val="24"/>
                <w:szCs w:val="24"/>
              </w:rPr>
              <w:t>11.11</w:t>
            </w:r>
          </w:p>
        </w:tc>
        <w:tc>
          <w:tcPr>
            <w:tcW w:w="2880" w:type="dxa"/>
            <w:shd w:val="clear" w:color="auto" w:fill="auto"/>
          </w:tcPr>
          <w:p w:rsidR="004A5A97" w:rsidRPr="00343034" w:rsidRDefault="004905C5" w:rsidP="00343034">
            <w:pPr>
              <w:spacing w:after="0"/>
              <w:jc w:val="both"/>
              <w:rPr>
                <w:rFonts w:ascii="Times New Roman" w:hAnsi="Times New Roman"/>
                <w:sz w:val="24"/>
                <w:szCs w:val="24"/>
              </w:rPr>
            </w:pPr>
            <w:r w:rsidRPr="00343034">
              <w:rPr>
                <w:rFonts w:ascii="Times New Roman" w:hAnsi="Times New Roman"/>
                <w:sz w:val="24"/>
                <w:szCs w:val="24"/>
              </w:rPr>
              <w:t>NA</w:t>
            </w:r>
          </w:p>
        </w:tc>
        <w:tc>
          <w:tcPr>
            <w:tcW w:w="2448" w:type="dxa"/>
            <w:shd w:val="clear" w:color="auto" w:fill="auto"/>
          </w:tcPr>
          <w:p w:rsidR="004A5A97" w:rsidRPr="00343034" w:rsidRDefault="004905C5" w:rsidP="00343034">
            <w:pPr>
              <w:spacing w:after="0"/>
              <w:jc w:val="both"/>
              <w:rPr>
                <w:rFonts w:ascii="Times New Roman" w:hAnsi="Times New Roman"/>
                <w:sz w:val="24"/>
                <w:szCs w:val="24"/>
              </w:rPr>
            </w:pPr>
            <w:r w:rsidRPr="00343034">
              <w:rPr>
                <w:rFonts w:ascii="Times New Roman" w:hAnsi="Times New Roman"/>
                <w:sz w:val="24"/>
                <w:szCs w:val="24"/>
              </w:rPr>
              <w:t>NA</w:t>
            </w:r>
          </w:p>
        </w:tc>
      </w:tr>
      <w:tr w:rsidR="004A5A97" w:rsidRPr="00343034" w:rsidTr="008945C7">
        <w:tc>
          <w:tcPr>
            <w:tcW w:w="1998" w:type="dxa"/>
            <w:shd w:val="clear" w:color="auto" w:fill="auto"/>
          </w:tcPr>
          <w:p w:rsidR="004A5A97" w:rsidRPr="00343034" w:rsidRDefault="004A5A97" w:rsidP="00343034">
            <w:pPr>
              <w:spacing w:after="0"/>
              <w:jc w:val="both"/>
              <w:rPr>
                <w:rFonts w:ascii="Times New Roman" w:hAnsi="Times New Roman"/>
                <w:sz w:val="24"/>
                <w:szCs w:val="24"/>
              </w:rPr>
            </w:pPr>
            <w:r w:rsidRPr="00343034">
              <w:rPr>
                <w:rFonts w:ascii="Times New Roman" w:hAnsi="Times New Roman"/>
                <w:sz w:val="24"/>
                <w:szCs w:val="24"/>
              </w:rPr>
              <w:t>M.Ed. 2</w:t>
            </w:r>
            <w:r w:rsidRPr="00343034">
              <w:rPr>
                <w:rFonts w:ascii="Times New Roman" w:hAnsi="Times New Roman"/>
                <w:sz w:val="24"/>
                <w:szCs w:val="24"/>
                <w:vertAlign w:val="superscript"/>
              </w:rPr>
              <w:t>nd</w:t>
            </w:r>
            <w:r w:rsidRPr="00343034">
              <w:rPr>
                <w:rFonts w:ascii="Times New Roman" w:hAnsi="Times New Roman"/>
                <w:sz w:val="24"/>
                <w:szCs w:val="24"/>
              </w:rPr>
              <w:t xml:space="preserve"> Semester</w:t>
            </w:r>
          </w:p>
        </w:tc>
        <w:tc>
          <w:tcPr>
            <w:tcW w:w="2250" w:type="dxa"/>
            <w:shd w:val="clear" w:color="auto" w:fill="auto"/>
          </w:tcPr>
          <w:p w:rsidR="004A5A97" w:rsidRPr="00343034" w:rsidRDefault="004905C5" w:rsidP="00343034">
            <w:pPr>
              <w:spacing w:after="0"/>
              <w:jc w:val="both"/>
              <w:rPr>
                <w:rFonts w:ascii="Times New Roman" w:hAnsi="Times New Roman"/>
                <w:sz w:val="24"/>
                <w:szCs w:val="24"/>
              </w:rPr>
            </w:pPr>
            <w:r w:rsidRPr="00343034">
              <w:rPr>
                <w:rFonts w:ascii="Times New Roman" w:hAnsi="Times New Roman"/>
                <w:sz w:val="24"/>
                <w:szCs w:val="24"/>
              </w:rPr>
              <w:t>NA</w:t>
            </w:r>
          </w:p>
        </w:tc>
        <w:tc>
          <w:tcPr>
            <w:tcW w:w="2880" w:type="dxa"/>
            <w:shd w:val="clear" w:color="auto" w:fill="auto"/>
          </w:tcPr>
          <w:p w:rsidR="004A5A97" w:rsidRPr="00343034" w:rsidRDefault="004A5A97" w:rsidP="00343034">
            <w:pPr>
              <w:spacing w:after="0"/>
              <w:jc w:val="both"/>
              <w:rPr>
                <w:rFonts w:ascii="Times New Roman" w:hAnsi="Times New Roman"/>
                <w:sz w:val="24"/>
                <w:szCs w:val="24"/>
              </w:rPr>
            </w:pPr>
            <w:r w:rsidRPr="00343034">
              <w:rPr>
                <w:rFonts w:ascii="Times New Roman" w:hAnsi="Times New Roman"/>
                <w:sz w:val="24"/>
                <w:szCs w:val="24"/>
              </w:rPr>
              <w:t>0.00</w:t>
            </w:r>
          </w:p>
        </w:tc>
        <w:tc>
          <w:tcPr>
            <w:tcW w:w="2448" w:type="dxa"/>
            <w:shd w:val="clear" w:color="auto" w:fill="auto"/>
          </w:tcPr>
          <w:p w:rsidR="004A5A97" w:rsidRPr="00343034" w:rsidRDefault="004905C5" w:rsidP="00343034">
            <w:pPr>
              <w:spacing w:after="0"/>
              <w:jc w:val="both"/>
              <w:rPr>
                <w:rFonts w:ascii="Times New Roman" w:hAnsi="Times New Roman"/>
                <w:sz w:val="24"/>
                <w:szCs w:val="24"/>
              </w:rPr>
            </w:pPr>
            <w:r w:rsidRPr="00343034">
              <w:rPr>
                <w:rFonts w:ascii="Times New Roman" w:hAnsi="Times New Roman"/>
                <w:sz w:val="24"/>
                <w:szCs w:val="24"/>
              </w:rPr>
              <w:t>NA</w:t>
            </w:r>
          </w:p>
        </w:tc>
      </w:tr>
      <w:tr w:rsidR="004A5A97" w:rsidRPr="00343034" w:rsidTr="008945C7">
        <w:tc>
          <w:tcPr>
            <w:tcW w:w="1998" w:type="dxa"/>
            <w:shd w:val="clear" w:color="auto" w:fill="auto"/>
          </w:tcPr>
          <w:p w:rsidR="004A5A97" w:rsidRPr="00343034" w:rsidRDefault="004A5A97" w:rsidP="00343034">
            <w:pPr>
              <w:spacing w:after="0"/>
              <w:jc w:val="both"/>
              <w:rPr>
                <w:rFonts w:ascii="Times New Roman" w:hAnsi="Times New Roman"/>
                <w:sz w:val="24"/>
                <w:szCs w:val="24"/>
              </w:rPr>
            </w:pPr>
            <w:r w:rsidRPr="00343034">
              <w:rPr>
                <w:rFonts w:ascii="Times New Roman" w:hAnsi="Times New Roman"/>
                <w:sz w:val="24"/>
                <w:szCs w:val="24"/>
              </w:rPr>
              <w:t>M.Ed. 4</w:t>
            </w:r>
            <w:r w:rsidRPr="00343034">
              <w:rPr>
                <w:rFonts w:ascii="Times New Roman" w:hAnsi="Times New Roman"/>
                <w:sz w:val="24"/>
                <w:szCs w:val="24"/>
                <w:vertAlign w:val="superscript"/>
              </w:rPr>
              <w:t>th</w:t>
            </w:r>
            <w:r w:rsidRPr="00343034">
              <w:rPr>
                <w:rFonts w:ascii="Times New Roman" w:hAnsi="Times New Roman"/>
                <w:sz w:val="24"/>
                <w:szCs w:val="24"/>
              </w:rPr>
              <w:t xml:space="preserve"> Semester</w:t>
            </w:r>
          </w:p>
        </w:tc>
        <w:tc>
          <w:tcPr>
            <w:tcW w:w="2250" w:type="dxa"/>
            <w:shd w:val="clear" w:color="auto" w:fill="auto"/>
          </w:tcPr>
          <w:p w:rsidR="004A5A97" w:rsidRPr="00343034" w:rsidRDefault="004905C5" w:rsidP="00343034">
            <w:pPr>
              <w:spacing w:after="0"/>
              <w:jc w:val="both"/>
              <w:rPr>
                <w:rFonts w:ascii="Times New Roman" w:hAnsi="Times New Roman"/>
                <w:sz w:val="24"/>
                <w:szCs w:val="24"/>
              </w:rPr>
            </w:pPr>
            <w:r w:rsidRPr="00343034">
              <w:rPr>
                <w:rFonts w:ascii="Times New Roman" w:hAnsi="Times New Roman"/>
                <w:sz w:val="24"/>
                <w:szCs w:val="24"/>
              </w:rPr>
              <w:t>NA</w:t>
            </w:r>
          </w:p>
        </w:tc>
        <w:tc>
          <w:tcPr>
            <w:tcW w:w="2880" w:type="dxa"/>
            <w:shd w:val="clear" w:color="auto" w:fill="auto"/>
          </w:tcPr>
          <w:p w:rsidR="004A5A97" w:rsidRPr="00343034" w:rsidRDefault="004905C5" w:rsidP="00343034">
            <w:pPr>
              <w:spacing w:after="0"/>
              <w:jc w:val="both"/>
              <w:rPr>
                <w:rFonts w:ascii="Times New Roman" w:hAnsi="Times New Roman"/>
                <w:sz w:val="24"/>
                <w:szCs w:val="24"/>
              </w:rPr>
            </w:pPr>
            <w:r w:rsidRPr="00343034">
              <w:rPr>
                <w:rFonts w:ascii="Times New Roman" w:hAnsi="Times New Roman"/>
                <w:sz w:val="24"/>
                <w:szCs w:val="24"/>
              </w:rPr>
              <w:t>NA</w:t>
            </w:r>
          </w:p>
        </w:tc>
        <w:tc>
          <w:tcPr>
            <w:tcW w:w="2448" w:type="dxa"/>
            <w:shd w:val="clear" w:color="auto" w:fill="auto"/>
          </w:tcPr>
          <w:p w:rsidR="004A5A97" w:rsidRPr="00343034" w:rsidRDefault="004A5A97" w:rsidP="00343034">
            <w:pPr>
              <w:spacing w:after="0"/>
              <w:jc w:val="both"/>
              <w:rPr>
                <w:rFonts w:ascii="Times New Roman" w:hAnsi="Times New Roman"/>
                <w:sz w:val="24"/>
                <w:szCs w:val="24"/>
              </w:rPr>
            </w:pPr>
            <w:r w:rsidRPr="00343034">
              <w:rPr>
                <w:rFonts w:ascii="Times New Roman" w:hAnsi="Times New Roman"/>
                <w:sz w:val="24"/>
                <w:szCs w:val="24"/>
              </w:rPr>
              <w:t>0.00</w:t>
            </w:r>
          </w:p>
        </w:tc>
      </w:tr>
    </w:tbl>
    <w:p w:rsidR="004A5A97" w:rsidRPr="00343034" w:rsidRDefault="004A5A97" w:rsidP="00343034">
      <w:pPr>
        <w:spacing w:after="0"/>
        <w:jc w:val="both"/>
        <w:rPr>
          <w:rFonts w:ascii="Times New Roman" w:hAnsi="Times New Roman"/>
          <w:sz w:val="24"/>
          <w:szCs w:val="24"/>
        </w:rPr>
      </w:pPr>
    </w:p>
    <w:p w:rsidR="004A5A97" w:rsidRPr="00343034" w:rsidRDefault="004A5A97" w:rsidP="00343034">
      <w:pPr>
        <w:pStyle w:val="NormalWeb"/>
        <w:spacing w:before="0" w:beforeAutospacing="0" w:after="0" w:afterAutospacing="0" w:line="276" w:lineRule="auto"/>
        <w:jc w:val="both"/>
      </w:pPr>
      <w:r w:rsidRPr="00343034">
        <w:t>A close analysis of graphical displays and how dropout rates, net transfers, and program-specific trends relate to each other offers a deeper insight into the mechanics that shape Baneshwor Multiple Campus dynamics. The information implies that there is a need for specialized measures along with more study to improve retention, specifically at levels where early school leaving shows a rise. It is also shown through this all-inclusive evaluation that it can be used as an effective guide for making informed decisions and strategically planning for the campus.</w:t>
      </w:r>
    </w:p>
    <w:p w:rsidR="00AD0557" w:rsidRPr="00343034" w:rsidRDefault="00AD0557" w:rsidP="00343034">
      <w:pPr>
        <w:spacing w:after="0"/>
        <w:jc w:val="both"/>
        <w:rPr>
          <w:rFonts w:ascii="Times New Roman" w:hAnsi="Times New Roman"/>
          <w:b/>
          <w:sz w:val="24"/>
          <w:szCs w:val="24"/>
        </w:rPr>
      </w:pPr>
      <w:r w:rsidRPr="00343034">
        <w:rPr>
          <w:rFonts w:ascii="Times New Roman" w:hAnsi="Times New Roman"/>
          <w:b/>
          <w:sz w:val="24"/>
          <w:szCs w:val="24"/>
        </w:rPr>
        <w:t>Drop ou</w:t>
      </w:r>
      <w:r w:rsidR="005E6B59" w:rsidRPr="00343034">
        <w:rPr>
          <w:rFonts w:ascii="Times New Roman" w:hAnsi="Times New Roman"/>
          <w:b/>
          <w:sz w:val="24"/>
          <w:szCs w:val="24"/>
        </w:rPr>
        <w:t>t Trends analysis 2020-2022</w:t>
      </w:r>
      <w:r w:rsidRPr="00343034">
        <w:rPr>
          <w:rFonts w:ascii="Times New Roman" w:hAnsi="Times New Roman"/>
          <w:b/>
          <w:sz w:val="24"/>
          <w:szCs w:val="24"/>
        </w:rPr>
        <w:t xml:space="preserve"> of BMC</w:t>
      </w:r>
    </w:p>
    <w:p w:rsidR="00C2740F" w:rsidRPr="00343034" w:rsidRDefault="00C2740F" w:rsidP="00343034">
      <w:pPr>
        <w:pStyle w:val="NormalWeb"/>
        <w:spacing w:before="0" w:beforeAutospacing="0" w:after="0" w:afterAutospacing="0" w:line="276" w:lineRule="auto"/>
        <w:jc w:val="both"/>
      </w:pPr>
      <w:r w:rsidRPr="00343034">
        <w:t>The dropout trends at Baneshwor</w:t>
      </w:r>
      <w:r w:rsidR="001761AE" w:rsidRPr="00343034">
        <w:t xml:space="preserve"> Multiple Campus (BMC) from 2020 to 2022</w:t>
      </w:r>
      <w:r w:rsidRPr="00343034">
        <w:t xml:space="preserve"> exhibit dynamic patterns, shedding light on the challenges and improvemen</w:t>
      </w:r>
      <w:r w:rsidR="001761AE" w:rsidRPr="00343034">
        <w:t>ts in student retention. In 2020</w:t>
      </w:r>
      <w:r w:rsidRPr="00343034">
        <w:t>, the over</w:t>
      </w:r>
      <w:r w:rsidR="00810042" w:rsidRPr="00343034">
        <w:t xml:space="preserve">all dropout rate </w:t>
      </w:r>
      <w:r w:rsidR="00236880" w:rsidRPr="00343034">
        <w:t>was</w:t>
      </w:r>
      <w:r w:rsidR="00810042" w:rsidRPr="00343034">
        <w:t xml:space="preserve"> 21.50 per cent</w:t>
      </w:r>
      <w:r w:rsidRPr="00343034">
        <w:t xml:space="preserve">, with BBS 1st </w:t>
      </w:r>
      <w:r w:rsidR="00293D2B" w:rsidRPr="00343034">
        <w:t>and B.Ed. 3</w:t>
      </w:r>
      <w:r w:rsidR="00293D2B" w:rsidRPr="00343034">
        <w:rPr>
          <w:vertAlign w:val="superscript"/>
        </w:rPr>
        <w:t>rd</w:t>
      </w:r>
      <w:r w:rsidR="00293D2B" w:rsidRPr="00343034">
        <w:t xml:space="preserve"> </w:t>
      </w:r>
      <w:r w:rsidR="001761AE" w:rsidRPr="00343034">
        <w:t>year</w:t>
      </w:r>
      <w:r w:rsidR="00810042" w:rsidRPr="00343034">
        <w:t xml:space="preserve"> facing higher rates at 33.22 </w:t>
      </w:r>
      <w:r w:rsidR="00293D2B" w:rsidRPr="00343034">
        <w:t xml:space="preserve">and 28.57 </w:t>
      </w:r>
      <w:r w:rsidR="001761AE" w:rsidRPr="00343034">
        <w:t>per</w:t>
      </w:r>
      <w:r w:rsidR="00810042" w:rsidRPr="00343034">
        <w:t>cent</w:t>
      </w:r>
      <w:r w:rsidRPr="00343034">
        <w:t xml:space="preserve">, respectively. </w:t>
      </w:r>
      <w:r w:rsidR="001761AE" w:rsidRPr="00343034">
        <w:t>In the subsequent year, 2021</w:t>
      </w:r>
      <w:r w:rsidR="00F60503" w:rsidRPr="00343034">
        <w:t>, the total dropout rate ag</w:t>
      </w:r>
      <w:r w:rsidR="00263450" w:rsidRPr="00343034">
        <w:t>ain was on a rise hitting 20.73 Percent</w:t>
      </w:r>
      <w:r w:rsidR="00F60503" w:rsidRPr="00343034">
        <w:t xml:space="preserve"> visualized as a sharp increas</w:t>
      </w:r>
      <w:r w:rsidR="00293D2B" w:rsidRPr="00343034">
        <w:t>e in the BBS 2nd year 30.89 percent and the BBS IV 36.61 percent.</w:t>
      </w:r>
    </w:p>
    <w:p w:rsidR="00C2740F" w:rsidRPr="00343034" w:rsidRDefault="001761AE" w:rsidP="00343034">
      <w:pPr>
        <w:pStyle w:val="NormalWeb"/>
        <w:spacing w:before="0" w:beforeAutospacing="0" w:after="0" w:afterAutospacing="0" w:line="276" w:lineRule="auto"/>
        <w:jc w:val="both"/>
      </w:pPr>
      <w:r w:rsidRPr="00343034">
        <w:t>In 2022</w:t>
      </w:r>
      <w:r w:rsidR="00F60503" w:rsidRPr="00343034">
        <w:t>, the situation improved, because of which the dropou</w:t>
      </w:r>
      <w:r w:rsidR="00263450" w:rsidRPr="00343034">
        <w:t>t rate had fallen down to 19.60 Percent</w:t>
      </w:r>
      <w:r w:rsidR="00F60503" w:rsidRPr="00343034">
        <w:t>. There was, however, a positive development. Yet, certain of those remained quite troublesome in B.Ed</w:t>
      </w:r>
      <w:r w:rsidR="00236880" w:rsidRPr="00343034">
        <w:t>. This also applied to 2</w:t>
      </w:r>
      <w:r w:rsidR="00236880" w:rsidRPr="00343034">
        <w:rPr>
          <w:vertAlign w:val="superscript"/>
        </w:rPr>
        <w:t>nd</w:t>
      </w:r>
      <w:r w:rsidR="00236880" w:rsidRPr="00343034">
        <w:t xml:space="preserve"> year</w:t>
      </w:r>
      <w:r w:rsidR="00F60503" w:rsidRPr="00343034">
        <w:t xml:space="preserve">, whose </w:t>
      </w:r>
      <w:r w:rsidR="00236880" w:rsidRPr="00343034">
        <w:t>dropout</w:t>
      </w:r>
      <w:r w:rsidR="00F60503" w:rsidRPr="00343034">
        <w:t xml:space="preserve"> rate repor</w:t>
      </w:r>
      <w:r w:rsidR="00263450" w:rsidRPr="00343034">
        <w:t>ted difficulties of up to 40.50 Percent</w:t>
      </w:r>
      <w:r w:rsidR="00F60503" w:rsidRPr="00343034">
        <w:t>. Be</w:t>
      </w:r>
      <w:r w:rsidRPr="00343034">
        <w:t>sides, this rate of BA 2nd year</w:t>
      </w:r>
      <w:r w:rsidR="00F60503" w:rsidRPr="00343034">
        <w:t xml:space="preserve"> </w:t>
      </w:r>
      <w:r w:rsidR="00263450" w:rsidRPr="00343034">
        <w:t>drop</w:t>
      </w:r>
      <w:r w:rsidR="00F60503" w:rsidRPr="00343034">
        <w:t>out students experienced an increase, rising from 1</w:t>
      </w:r>
      <w:r w:rsidRPr="00343034">
        <w:t>4.65 Percent in the year 2020</w:t>
      </w:r>
      <w:r w:rsidR="00263450" w:rsidRPr="00343034">
        <w:t xml:space="preserve"> to 32.60 Percent</w:t>
      </w:r>
      <w:r w:rsidRPr="00343034">
        <w:t xml:space="preserve"> in 2022</w:t>
      </w:r>
      <w:r w:rsidR="00F60503" w:rsidRPr="00343034">
        <w:t xml:space="preserve">. </w:t>
      </w:r>
    </w:p>
    <w:p w:rsidR="001B4098" w:rsidRPr="00343034" w:rsidRDefault="004A5A97" w:rsidP="00343034">
      <w:pPr>
        <w:pStyle w:val="NormalWeb"/>
        <w:spacing w:before="0" w:beforeAutospacing="0" w:after="0" w:afterAutospacing="0" w:line="276" w:lineRule="auto"/>
        <w:jc w:val="center"/>
        <w:rPr>
          <w:b/>
        </w:rPr>
      </w:pPr>
      <w:r w:rsidRPr="00343034">
        <w:rPr>
          <w:b/>
        </w:rPr>
        <w:t>Table 5</w:t>
      </w:r>
    </w:p>
    <w:p w:rsidR="00AD0557" w:rsidRPr="00343034" w:rsidRDefault="00AD0557" w:rsidP="00343034">
      <w:pPr>
        <w:pStyle w:val="NormalWeb"/>
        <w:spacing w:before="0" w:beforeAutospacing="0" w:after="0" w:afterAutospacing="0" w:line="276" w:lineRule="auto"/>
        <w:jc w:val="center"/>
        <w:rPr>
          <w:b/>
        </w:rPr>
      </w:pPr>
      <w:r w:rsidRPr="00343034">
        <w:rPr>
          <w:b/>
        </w:rPr>
        <w:t>Overall Stu</w:t>
      </w:r>
      <w:r w:rsidR="00A443B3" w:rsidRPr="00343034">
        <w:rPr>
          <w:b/>
        </w:rPr>
        <w:t>dents dropout trends of BMC 2020-2022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4522"/>
      </w:tblGrid>
      <w:tr w:rsidR="00AD0557" w:rsidRPr="00343034" w:rsidTr="006E280D">
        <w:trPr>
          <w:jc w:val="center"/>
        </w:trPr>
        <w:tc>
          <w:tcPr>
            <w:tcW w:w="4788" w:type="dxa"/>
            <w:shd w:val="clear" w:color="auto" w:fill="auto"/>
          </w:tcPr>
          <w:p w:rsidR="00AD0557" w:rsidRPr="00343034" w:rsidRDefault="00AD0557" w:rsidP="00343034">
            <w:pPr>
              <w:pStyle w:val="NormalWeb"/>
              <w:spacing w:before="0" w:beforeAutospacing="0" w:after="0" w:afterAutospacing="0" w:line="276" w:lineRule="auto"/>
              <w:jc w:val="center"/>
              <w:rPr>
                <w:b/>
              </w:rPr>
            </w:pPr>
            <w:r w:rsidRPr="00343034">
              <w:rPr>
                <w:b/>
              </w:rPr>
              <w:t>Year</w:t>
            </w:r>
          </w:p>
        </w:tc>
        <w:tc>
          <w:tcPr>
            <w:tcW w:w="4788" w:type="dxa"/>
            <w:shd w:val="clear" w:color="auto" w:fill="auto"/>
          </w:tcPr>
          <w:p w:rsidR="00AD0557" w:rsidRPr="00343034" w:rsidRDefault="006A4CCA" w:rsidP="00343034">
            <w:pPr>
              <w:pStyle w:val="NormalWeb"/>
              <w:spacing w:before="0" w:beforeAutospacing="0" w:after="0" w:afterAutospacing="0" w:line="276" w:lineRule="auto"/>
              <w:jc w:val="center"/>
              <w:rPr>
                <w:b/>
              </w:rPr>
            </w:pPr>
            <w:r w:rsidRPr="00343034">
              <w:rPr>
                <w:b/>
              </w:rPr>
              <w:t>Drop</w:t>
            </w:r>
            <w:r w:rsidR="00AD0557" w:rsidRPr="00343034">
              <w:rPr>
                <w:b/>
              </w:rPr>
              <w:t xml:space="preserve">out Rate in </w:t>
            </w:r>
            <w:r w:rsidRPr="00343034">
              <w:rPr>
                <w:b/>
              </w:rPr>
              <w:t>per</w:t>
            </w:r>
            <w:r w:rsidR="007264DD" w:rsidRPr="00343034">
              <w:rPr>
                <w:b/>
              </w:rPr>
              <w:t>cent</w:t>
            </w:r>
          </w:p>
        </w:tc>
      </w:tr>
      <w:tr w:rsidR="00AD0557" w:rsidRPr="00343034" w:rsidTr="006E280D">
        <w:trPr>
          <w:jc w:val="center"/>
        </w:trPr>
        <w:tc>
          <w:tcPr>
            <w:tcW w:w="4788" w:type="dxa"/>
            <w:shd w:val="clear" w:color="auto" w:fill="auto"/>
          </w:tcPr>
          <w:p w:rsidR="00AD0557" w:rsidRPr="00343034" w:rsidRDefault="00A443B3" w:rsidP="00343034">
            <w:pPr>
              <w:pStyle w:val="NormalWeb"/>
              <w:spacing w:before="0" w:beforeAutospacing="0" w:after="0" w:afterAutospacing="0" w:line="276" w:lineRule="auto"/>
              <w:jc w:val="center"/>
            </w:pPr>
            <w:r w:rsidRPr="00343034">
              <w:t>2020</w:t>
            </w:r>
          </w:p>
        </w:tc>
        <w:tc>
          <w:tcPr>
            <w:tcW w:w="4788" w:type="dxa"/>
            <w:shd w:val="clear" w:color="auto" w:fill="auto"/>
          </w:tcPr>
          <w:p w:rsidR="00AD0557" w:rsidRPr="00343034" w:rsidRDefault="00AD0557" w:rsidP="00343034">
            <w:pPr>
              <w:pStyle w:val="NormalWeb"/>
              <w:spacing w:before="0" w:beforeAutospacing="0" w:after="0" w:afterAutospacing="0" w:line="276" w:lineRule="auto"/>
              <w:jc w:val="center"/>
            </w:pPr>
            <w:r w:rsidRPr="00343034">
              <w:t>21.50</w:t>
            </w:r>
          </w:p>
        </w:tc>
      </w:tr>
      <w:tr w:rsidR="00AD0557" w:rsidRPr="00343034" w:rsidTr="006E280D">
        <w:trPr>
          <w:jc w:val="center"/>
        </w:trPr>
        <w:tc>
          <w:tcPr>
            <w:tcW w:w="4788" w:type="dxa"/>
            <w:shd w:val="clear" w:color="auto" w:fill="auto"/>
          </w:tcPr>
          <w:p w:rsidR="00AD0557" w:rsidRPr="00343034" w:rsidRDefault="00A443B3" w:rsidP="00343034">
            <w:pPr>
              <w:pStyle w:val="NormalWeb"/>
              <w:spacing w:before="0" w:beforeAutospacing="0" w:after="0" w:afterAutospacing="0" w:line="276" w:lineRule="auto"/>
              <w:jc w:val="center"/>
            </w:pPr>
            <w:r w:rsidRPr="00343034">
              <w:t>2021</w:t>
            </w:r>
          </w:p>
        </w:tc>
        <w:tc>
          <w:tcPr>
            <w:tcW w:w="4788" w:type="dxa"/>
            <w:shd w:val="clear" w:color="auto" w:fill="auto"/>
          </w:tcPr>
          <w:p w:rsidR="00AD0557" w:rsidRPr="00343034" w:rsidRDefault="00AD0557" w:rsidP="00343034">
            <w:pPr>
              <w:pStyle w:val="NormalWeb"/>
              <w:spacing w:before="0" w:beforeAutospacing="0" w:after="0" w:afterAutospacing="0" w:line="276" w:lineRule="auto"/>
              <w:jc w:val="center"/>
            </w:pPr>
            <w:r w:rsidRPr="00343034">
              <w:t>20.73</w:t>
            </w:r>
          </w:p>
        </w:tc>
      </w:tr>
      <w:tr w:rsidR="00AD0557" w:rsidRPr="00343034" w:rsidTr="006E280D">
        <w:trPr>
          <w:jc w:val="center"/>
        </w:trPr>
        <w:tc>
          <w:tcPr>
            <w:tcW w:w="4788" w:type="dxa"/>
            <w:shd w:val="clear" w:color="auto" w:fill="auto"/>
          </w:tcPr>
          <w:p w:rsidR="00AD0557" w:rsidRPr="00343034" w:rsidRDefault="00A443B3" w:rsidP="00343034">
            <w:pPr>
              <w:pStyle w:val="NormalWeb"/>
              <w:spacing w:before="0" w:beforeAutospacing="0" w:after="0" w:afterAutospacing="0" w:line="276" w:lineRule="auto"/>
              <w:jc w:val="center"/>
            </w:pPr>
            <w:r w:rsidRPr="00343034">
              <w:t>2022</w:t>
            </w:r>
          </w:p>
        </w:tc>
        <w:tc>
          <w:tcPr>
            <w:tcW w:w="4788" w:type="dxa"/>
            <w:shd w:val="clear" w:color="auto" w:fill="auto"/>
          </w:tcPr>
          <w:p w:rsidR="00AD0557" w:rsidRPr="00343034" w:rsidRDefault="00AD0557" w:rsidP="00343034">
            <w:pPr>
              <w:pStyle w:val="NormalWeb"/>
              <w:spacing w:before="0" w:beforeAutospacing="0" w:after="0" w:afterAutospacing="0" w:line="276" w:lineRule="auto"/>
              <w:jc w:val="center"/>
            </w:pPr>
            <w:r w:rsidRPr="00343034">
              <w:t>19.60</w:t>
            </w:r>
          </w:p>
        </w:tc>
      </w:tr>
    </w:tbl>
    <w:p w:rsidR="00CC7068" w:rsidRPr="00343034" w:rsidRDefault="00CC7068" w:rsidP="00343034">
      <w:pPr>
        <w:pStyle w:val="NormalWeb"/>
        <w:spacing w:before="0" w:beforeAutospacing="0" w:after="0" w:afterAutospacing="0" w:line="276" w:lineRule="auto"/>
        <w:jc w:val="both"/>
        <w:rPr>
          <w:b/>
        </w:rPr>
      </w:pPr>
    </w:p>
    <w:p w:rsidR="0017022B" w:rsidRPr="00B5172F" w:rsidRDefault="0017022B" w:rsidP="00343034">
      <w:pPr>
        <w:pStyle w:val="NormalWeb"/>
        <w:spacing w:before="0" w:beforeAutospacing="0" w:after="0" w:afterAutospacing="0" w:line="276" w:lineRule="auto"/>
        <w:jc w:val="both"/>
        <w:rPr>
          <w:b/>
          <w:sz w:val="28"/>
          <w:szCs w:val="28"/>
        </w:rPr>
      </w:pPr>
      <w:r w:rsidRPr="00B5172F">
        <w:rPr>
          <w:b/>
          <w:sz w:val="28"/>
          <w:szCs w:val="28"/>
        </w:rPr>
        <w:t xml:space="preserve">Discussion </w:t>
      </w:r>
    </w:p>
    <w:p w:rsidR="0017022B" w:rsidRPr="00343034" w:rsidRDefault="00DE73DC" w:rsidP="00343034">
      <w:pPr>
        <w:pStyle w:val="NormalWeb"/>
        <w:spacing w:before="0" w:beforeAutospacing="0" w:after="0" w:afterAutospacing="0" w:line="276" w:lineRule="auto"/>
        <w:jc w:val="both"/>
      </w:pPr>
      <w:r w:rsidRPr="00343034">
        <w:t>The article about tenth-grade student dropout trend at Baneshwor Multiple Campus (BMC), Nepal discusses various possible challenges and initiatives on student retention. However, the dropping policy by BMC in the year 2</w:t>
      </w:r>
      <w:r w:rsidR="00440951" w:rsidRPr="00343034">
        <w:t>016</w:t>
      </w:r>
      <w:r w:rsidRPr="00343034">
        <w:t xml:space="preserve"> is a critical concern. Are these effective? How the dropping policy could be helpful to reduce the dropout rate? What should be the implementation strategy to fulfill the impact? By answering and considering the current situation, we should evaluate and understand how successful and see whether some areas are required to improve the effectiveness and the implementation methodology of the dropping policy.</w:t>
      </w:r>
    </w:p>
    <w:p w:rsidR="00DE73DC" w:rsidRPr="00343034" w:rsidRDefault="00DE73DC" w:rsidP="00343034">
      <w:pPr>
        <w:pStyle w:val="NormalWeb"/>
        <w:spacing w:before="0" w:beforeAutospacing="0" w:after="0" w:afterAutospacing="0" w:line="276" w:lineRule="auto"/>
        <w:jc w:val="both"/>
      </w:pPr>
      <w:r w:rsidRPr="00343034">
        <w:t xml:space="preserve">External factors such as economic conditions and social conditions are now being raised </w:t>
      </w:r>
      <w:r w:rsidR="009C6348" w:rsidRPr="00343034">
        <w:t>as explanations of student drop</w:t>
      </w:r>
      <w:r w:rsidRPr="00343034">
        <w:t xml:space="preserve">out rates at BMC. One could </w:t>
      </w:r>
      <w:r w:rsidR="009C6348" w:rsidRPr="00343034">
        <w:t>explore</w:t>
      </w:r>
      <w:r w:rsidRPr="00343034">
        <w:t xml:space="preserve"> into specific economic challenges between students as described by their social economic backgrounds, and perhaps develop specific targeted interventions that address those other factors and build better systems to support those students in this predicament. Foreign migration has been emphasized as a significant cause of the dropout problem at BMC, and a careful conversation might delve into why bachelors of arts choose to migrate rather than stay and finish their degree. The enticement of foreign prospects might be explored, and how the institution can diminish this enticement and keep its students within the confines of the educational system. Partnerships with external actors, such as government bodies and industries, might offer economic opportunities abroad that can alleviate financial incentive for students to migrate. Another critical matter for exploration could be to look at dropout rates by level and then compare those to national or even global trends. By recognizing consistent patterns at particular academic levels as well as any idiosyncrasies in BMC’s dropout rates relative to broad patterns of educational mobility, we can pinpoint areas for potentially effective interventions. This is what it means to consider dropout by emphasizing the local context: these data can and should inform the efforts of those invested most directly in the question of student success, while also helping to frame those efforts by bringing to light the peculiar challenges that accompany BMC’s position as a private higher education institution, a leading provider of higher education in the country, and a member of the academic community both locally and globally.</w:t>
      </w:r>
    </w:p>
    <w:p w:rsidR="009C6348" w:rsidRPr="00343034" w:rsidRDefault="009C6348" w:rsidP="00343034">
      <w:pPr>
        <w:pStyle w:val="NormalWeb"/>
        <w:spacing w:before="0" w:beforeAutospacing="0" w:after="0" w:afterAutospacing="0" w:line="276" w:lineRule="auto"/>
        <w:jc w:val="both"/>
      </w:pPr>
      <w:r w:rsidRPr="00343034">
        <w:t xml:space="preserve">To ensure the reliability of the study's conclusions, irregularities in the data, such as negative dropout rates at certain academic levels, must be addressed. </w:t>
      </w:r>
      <w:r w:rsidR="00440951" w:rsidRPr="00343034">
        <w:t xml:space="preserve">The negative dropout rate should be the cause of positive net transfer rate of the campus of the concern year. </w:t>
      </w:r>
      <w:r w:rsidRPr="00343034">
        <w:t>A detailed discussion could focus on the importance of data accuracy and completeness in educational analytics. Recommend steps that the BMC can take to improve the reliability of the data and discuss the potential impact of anomalies on the overall findings, which will enhanc</w:t>
      </w:r>
      <w:r w:rsidR="00140501" w:rsidRPr="00343034">
        <w:t xml:space="preserve">e the credibility of the study. </w:t>
      </w:r>
      <w:r w:rsidRPr="00343034">
        <w:t>The article highlights the link between student migration, economic opportunities abroad, and dropout rates. A comprehensive discussion could explore the broader implications of this trend for the nation's economy. It is critical to consider how BMC works with external stakeholders, including government agencies and industry, to create opportunities within the country. Such collaborations can make opportunities abroad less attractive and contribute to better student retention.</w:t>
      </w:r>
    </w:p>
    <w:p w:rsidR="00392FB1" w:rsidRPr="00343034" w:rsidRDefault="00392FB1" w:rsidP="00343034">
      <w:pPr>
        <w:pStyle w:val="NormalWeb"/>
        <w:spacing w:before="0" w:beforeAutospacing="0" w:after="0" w:afterAutospacing="0" w:line="276" w:lineRule="auto"/>
        <w:jc w:val="both"/>
      </w:pPr>
      <w:r w:rsidRPr="00343034">
        <w:t>The necessity of specific strategies for different academic levels is emphasized in this article. A thorough debate might examine the unique problems that every level faces and provide effective solutions. For every level, BMC can adjust its strategies to provide a more effective and modified intervention. This would make the strategy for student retention more complete and successful.</w:t>
      </w:r>
    </w:p>
    <w:p w:rsidR="00392FB1" w:rsidRDefault="00392FB1" w:rsidP="00343034">
      <w:pPr>
        <w:pStyle w:val="NormalWeb"/>
        <w:spacing w:before="0" w:beforeAutospacing="0" w:after="0" w:afterAutospacing="0" w:line="276" w:lineRule="auto"/>
        <w:jc w:val="both"/>
      </w:pPr>
      <w:r w:rsidRPr="00343034">
        <w:t>At last, these discussion points offer insights into the creation of well-informed strategies for enhancing student retention in the near future, as well as a basis for a deeper knowledge of the dropout trends at Baneshwor Multiple Campus.</w:t>
      </w:r>
    </w:p>
    <w:p w:rsidR="00B5172F" w:rsidRPr="00343034" w:rsidRDefault="00B5172F" w:rsidP="00343034">
      <w:pPr>
        <w:pStyle w:val="NormalWeb"/>
        <w:spacing w:before="0" w:beforeAutospacing="0" w:after="0" w:afterAutospacing="0" w:line="276" w:lineRule="auto"/>
        <w:jc w:val="both"/>
      </w:pPr>
    </w:p>
    <w:p w:rsidR="00AD0557" w:rsidRPr="00B5172F" w:rsidRDefault="00AD0557" w:rsidP="00343034">
      <w:pPr>
        <w:pStyle w:val="NormalWeb"/>
        <w:spacing w:before="0" w:beforeAutospacing="0" w:after="0" w:afterAutospacing="0" w:line="276" w:lineRule="auto"/>
        <w:jc w:val="both"/>
        <w:rPr>
          <w:b/>
          <w:sz w:val="28"/>
          <w:szCs w:val="28"/>
        </w:rPr>
      </w:pPr>
      <w:r w:rsidRPr="00B5172F">
        <w:rPr>
          <w:b/>
          <w:sz w:val="28"/>
          <w:szCs w:val="28"/>
        </w:rPr>
        <w:t>Conclusion</w:t>
      </w:r>
    </w:p>
    <w:p w:rsidR="008141D1" w:rsidRPr="00343034" w:rsidRDefault="00FF3F4F" w:rsidP="00343034">
      <w:pPr>
        <w:pStyle w:val="NormalWeb"/>
        <w:spacing w:before="0" w:beforeAutospacing="0" w:after="0" w:afterAutospacing="0" w:line="276" w:lineRule="auto"/>
        <w:jc w:val="both"/>
      </w:pPr>
      <w:r w:rsidRPr="00343034">
        <w:t>The drop</w:t>
      </w:r>
      <w:r w:rsidR="007842F1" w:rsidRPr="00343034">
        <w:t>out pattern has been analyzed in Baneshwor Multiple Campus (</w:t>
      </w:r>
      <w:r w:rsidR="00B836A0" w:rsidRPr="00343034">
        <w:t>BMC) for the academic years 2020 to 2022</w:t>
      </w:r>
      <w:r w:rsidR="007842F1" w:rsidRPr="00343034">
        <w:t xml:space="preserve"> and it is very informative ab</w:t>
      </w:r>
      <w:r w:rsidR="008141D1" w:rsidRPr="00343034">
        <w:t>out student retention dynamics. The college has made an effective</w:t>
      </w:r>
      <w:r w:rsidR="00B86C24" w:rsidRPr="00343034">
        <w:t xml:space="preserve"> plan in 2073 to deal with the dropout</w:t>
      </w:r>
      <w:r w:rsidR="008141D1" w:rsidRPr="00343034">
        <w:t xml:space="preserve"> problem. But many problems remain because of financial and social issues in the country. One big reason students leave</w:t>
      </w:r>
      <w:r w:rsidR="00E85434" w:rsidRPr="00343034">
        <w:t xml:space="preserve"> their study</w:t>
      </w:r>
      <w:r w:rsidR="008141D1" w:rsidRPr="00343034">
        <w:t xml:space="preserve"> is that they want to go to foreign country for better jobs. Doing this often leads to students stopping their studies, making school leaving bad worldwide. This is linked to a strong wish to live in other lands that makes college less important. The rate of student dropout a lot in 2022, which points to the good impact of the college student dropout reduction plans. To keep going, the college can gain from plans for each level, help from groups outside, and a deep look at how students move in college in the area and in the world. The facts found in this look give a base for making better plans, making a good college that helps, and at last making students stay in Baneshwor Multiple Campus in the days to come.</w:t>
      </w:r>
    </w:p>
    <w:p w:rsidR="005E6B59" w:rsidRPr="00343034" w:rsidRDefault="005E6B59" w:rsidP="00343034">
      <w:pPr>
        <w:pStyle w:val="NormalWeb"/>
        <w:spacing w:before="0" w:beforeAutospacing="0" w:after="0" w:afterAutospacing="0" w:line="276" w:lineRule="auto"/>
        <w:jc w:val="both"/>
      </w:pPr>
    </w:p>
    <w:p w:rsidR="00AE3C24" w:rsidRPr="00B5172F" w:rsidRDefault="00AE3C24" w:rsidP="00343034">
      <w:pPr>
        <w:pStyle w:val="NormalWeb"/>
        <w:spacing w:before="0" w:beforeAutospacing="0" w:after="0" w:afterAutospacing="0" w:line="276" w:lineRule="auto"/>
        <w:jc w:val="both"/>
        <w:rPr>
          <w:b/>
          <w:sz w:val="28"/>
          <w:szCs w:val="28"/>
        </w:rPr>
      </w:pPr>
      <w:r w:rsidRPr="00B5172F">
        <w:rPr>
          <w:b/>
          <w:sz w:val="28"/>
          <w:szCs w:val="28"/>
        </w:rPr>
        <w:t>Reference</w:t>
      </w:r>
    </w:p>
    <w:p w:rsidR="00D040CF" w:rsidRPr="00343034" w:rsidRDefault="00D040CF" w:rsidP="00343034">
      <w:pPr>
        <w:spacing w:after="0"/>
        <w:ind w:left="720" w:hanging="720"/>
        <w:jc w:val="both"/>
        <w:rPr>
          <w:rFonts w:ascii="Times New Roman" w:eastAsia="Times New Roman" w:hAnsi="Times New Roman"/>
          <w:sz w:val="24"/>
          <w:szCs w:val="24"/>
        </w:rPr>
      </w:pPr>
      <w:r w:rsidRPr="00343034">
        <w:rPr>
          <w:rFonts w:ascii="Times New Roman" w:eastAsia="Times New Roman" w:hAnsi="Times New Roman"/>
          <w:sz w:val="24"/>
          <w:szCs w:val="24"/>
        </w:rPr>
        <w:t xml:space="preserve">Baneshwor Multiple Campus. (2023). </w:t>
      </w:r>
      <w:r w:rsidRPr="00343034">
        <w:rPr>
          <w:rFonts w:ascii="Times New Roman" w:eastAsia="Times New Roman" w:hAnsi="Times New Roman"/>
          <w:i/>
          <w:iCs/>
          <w:sz w:val="24"/>
          <w:szCs w:val="24"/>
        </w:rPr>
        <w:t>EMIS Report; 2023</w:t>
      </w:r>
      <w:r w:rsidRPr="00343034">
        <w:rPr>
          <w:rFonts w:ascii="Times New Roman" w:eastAsia="Times New Roman" w:hAnsi="Times New Roman"/>
          <w:sz w:val="24"/>
          <w:szCs w:val="24"/>
        </w:rPr>
        <w:t xml:space="preserve">. </w:t>
      </w:r>
      <w:bookmarkStart w:id="0" w:name="_GoBack"/>
      <w:bookmarkEnd w:id="0"/>
      <w:r w:rsidR="0005708E">
        <w:rPr>
          <w:rFonts w:ascii="Times New Roman" w:eastAsia="Times New Roman" w:hAnsi="Times New Roman"/>
          <w:sz w:val="24"/>
          <w:szCs w:val="24"/>
          <w:u w:val="single"/>
        </w:rPr>
        <w:fldChar w:fldCharType="begin"/>
      </w:r>
      <w:r w:rsidR="0005708E">
        <w:rPr>
          <w:rFonts w:ascii="Times New Roman" w:eastAsia="Times New Roman" w:hAnsi="Times New Roman"/>
          <w:sz w:val="24"/>
          <w:szCs w:val="24"/>
          <w:u w:val="single"/>
        </w:rPr>
        <w:instrText xml:space="preserve"> HYPERLINK "http://www.baneshwormultiplecampus.edu.np" \t "_new" </w:instrText>
      </w:r>
      <w:r w:rsidR="0005708E">
        <w:rPr>
          <w:rFonts w:ascii="Times New Roman" w:eastAsia="Times New Roman" w:hAnsi="Times New Roman"/>
          <w:sz w:val="24"/>
          <w:szCs w:val="24"/>
          <w:u w:val="single"/>
        </w:rPr>
        <w:fldChar w:fldCharType="separate"/>
      </w:r>
      <w:r w:rsidRPr="00343034">
        <w:rPr>
          <w:rFonts w:ascii="Times New Roman" w:eastAsia="Times New Roman" w:hAnsi="Times New Roman"/>
          <w:sz w:val="24"/>
          <w:szCs w:val="24"/>
          <w:u w:val="single"/>
        </w:rPr>
        <w:t>www.baneshwormultiplecampus.edu.np</w:t>
      </w:r>
      <w:r w:rsidR="0005708E">
        <w:rPr>
          <w:rFonts w:ascii="Times New Roman" w:eastAsia="Times New Roman" w:hAnsi="Times New Roman"/>
          <w:sz w:val="24"/>
          <w:szCs w:val="24"/>
          <w:u w:val="single"/>
        </w:rPr>
        <w:fldChar w:fldCharType="end"/>
      </w:r>
    </w:p>
    <w:p w:rsidR="00D040CF" w:rsidRPr="00343034" w:rsidRDefault="00D040CF" w:rsidP="00343034">
      <w:pPr>
        <w:spacing w:after="0"/>
        <w:ind w:left="720" w:hanging="720"/>
        <w:jc w:val="both"/>
        <w:rPr>
          <w:rFonts w:ascii="Times New Roman" w:eastAsia="Times New Roman" w:hAnsi="Times New Roman"/>
          <w:sz w:val="24"/>
          <w:szCs w:val="24"/>
        </w:rPr>
      </w:pPr>
      <w:r w:rsidRPr="00343034">
        <w:rPr>
          <w:rFonts w:ascii="Times New Roman" w:eastAsia="Times New Roman" w:hAnsi="Times New Roman"/>
          <w:sz w:val="24"/>
          <w:szCs w:val="24"/>
        </w:rPr>
        <w:t xml:space="preserve">Baneshwor Multiple Campus.(2016). </w:t>
      </w:r>
      <w:r w:rsidRPr="00343034">
        <w:rPr>
          <w:rFonts w:ascii="Times New Roman" w:eastAsia="Times New Roman" w:hAnsi="Times New Roman"/>
          <w:i/>
          <w:iCs/>
          <w:sz w:val="24"/>
          <w:szCs w:val="24"/>
        </w:rPr>
        <w:t>Dropout reduction policy and procedure 2073</w:t>
      </w:r>
      <w:r w:rsidRPr="00343034">
        <w:rPr>
          <w:rFonts w:ascii="Times New Roman" w:eastAsia="Times New Roman" w:hAnsi="Times New Roman"/>
          <w:sz w:val="24"/>
          <w:szCs w:val="24"/>
        </w:rPr>
        <w:t xml:space="preserve">. </w:t>
      </w:r>
      <w:hyperlink r:id="rId14" w:tgtFrame="_new" w:history="1">
        <w:r w:rsidRPr="00343034">
          <w:rPr>
            <w:rFonts w:ascii="Times New Roman" w:eastAsia="Times New Roman" w:hAnsi="Times New Roman"/>
            <w:sz w:val="24"/>
            <w:szCs w:val="24"/>
            <w:u w:val="single"/>
          </w:rPr>
          <w:t>www.baneshwormultiplecampus.edu.np</w:t>
        </w:r>
      </w:hyperlink>
    </w:p>
    <w:p w:rsidR="00D040CF" w:rsidRPr="00343034" w:rsidRDefault="00D040CF" w:rsidP="00343034">
      <w:pPr>
        <w:spacing w:after="0"/>
        <w:ind w:left="720" w:hanging="720"/>
        <w:jc w:val="both"/>
        <w:rPr>
          <w:rFonts w:ascii="Times New Roman" w:eastAsia="Times New Roman" w:hAnsi="Times New Roman"/>
          <w:sz w:val="24"/>
          <w:szCs w:val="24"/>
        </w:rPr>
      </w:pPr>
      <w:r w:rsidRPr="00343034">
        <w:rPr>
          <w:rFonts w:ascii="Times New Roman" w:eastAsia="Times New Roman" w:hAnsi="Times New Roman"/>
          <w:sz w:val="24"/>
          <w:szCs w:val="24"/>
        </w:rPr>
        <w:t xml:space="preserve">Baneshwor Multiple Campus.(2023). </w:t>
      </w:r>
      <w:r w:rsidRPr="00343034">
        <w:rPr>
          <w:rFonts w:ascii="Times New Roman" w:eastAsia="Times New Roman" w:hAnsi="Times New Roman"/>
          <w:i/>
          <w:iCs/>
          <w:sz w:val="24"/>
          <w:szCs w:val="24"/>
        </w:rPr>
        <w:t>Detail Progress Report;2023</w:t>
      </w:r>
      <w:r w:rsidRPr="00343034">
        <w:rPr>
          <w:rFonts w:ascii="Times New Roman" w:eastAsia="Times New Roman" w:hAnsi="Times New Roman"/>
          <w:sz w:val="24"/>
          <w:szCs w:val="24"/>
        </w:rPr>
        <w:t xml:space="preserve">. </w:t>
      </w:r>
      <w:hyperlink r:id="rId15" w:tgtFrame="_new" w:history="1">
        <w:r w:rsidRPr="00343034">
          <w:rPr>
            <w:rFonts w:ascii="Times New Roman" w:eastAsia="Times New Roman" w:hAnsi="Times New Roman"/>
            <w:sz w:val="24"/>
            <w:szCs w:val="24"/>
            <w:u w:val="single"/>
          </w:rPr>
          <w:t>www.baneshwormultiplecampus.edu.np</w:t>
        </w:r>
      </w:hyperlink>
    </w:p>
    <w:p w:rsidR="00ED41A8" w:rsidRPr="00343034" w:rsidRDefault="00ED41A8" w:rsidP="00343034">
      <w:pPr>
        <w:spacing w:after="0"/>
        <w:ind w:left="720" w:hanging="720"/>
        <w:jc w:val="both"/>
        <w:rPr>
          <w:rFonts w:ascii="Times New Roman" w:eastAsia="Times New Roman" w:hAnsi="Times New Roman"/>
          <w:sz w:val="24"/>
          <w:szCs w:val="24"/>
        </w:rPr>
      </w:pPr>
      <w:r w:rsidRPr="00343034">
        <w:rPr>
          <w:rFonts w:ascii="Times New Roman" w:eastAsia="Times New Roman" w:hAnsi="Times New Roman"/>
          <w:sz w:val="24"/>
          <w:szCs w:val="24"/>
        </w:rPr>
        <w:t xml:space="preserve">Fuller, R. (1927). </w:t>
      </w:r>
      <w:r w:rsidRPr="00343034">
        <w:rPr>
          <w:rFonts w:ascii="Times New Roman" w:eastAsia="Times New Roman" w:hAnsi="Times New Roman"/>
          <w:i/>
          <w:iCs/>
          <w:sz w:val="24"/>
          <w:szCs w:val="24"/>
        </w:rPr>
        <w:t xml:space="preserve">Fourteen is too early: Some </w:t>
      </w:r>
      <w:r w:rsidR="00665957" w:rsidRPr="00343034">
        <w:rPr>
          <w:rFonts w:ascii="Times New Roman" w:eastAsia="Times New Roman" w:hAnsi="Times New Roman"/>
          <w:i/>
          <w:iCs/>
          <w:sz w:val="24"/>
          <w:szCs w:val="24"/>
        </w:rPr>
        <w:t xml:space="preserve">psychological aspects of school </w:t>
      </w:r>
      <w:r w:rsidRPr="00343034">
        <w:rPr>
          <w:rFonts w:ascii="Times New Roman" w:eastAsia="Times New Roman" w:hAnsi="Times New Roman"/>
          <w:i/>
          <w:iCs/>
          <w:sz w:val="24"/>
          <w:szCs w:val="24"/>
        </w:rPr>
        <w:t>leaving and child labor</w:t>
      </w:r>
      <w:r w:rsidRPr="00343034">
        <w:rPr>
          <w:rFonts w:ascii="Times New Roman" w:eastAsia="Times New Roman" w:hAnsi="Times New Roman"/>
          <w:sz w:val="24"/>
          <w:szCs w:val="24"/>
        </w:rPr>
        <w:t>. New York, NY: National Child Labor Committee.</w:t>
      </w:r>
    </w:p>
    <w:p w:rsidR="00ED41A8" w:rsidRPr="00343034" w:rsidRDefault="00ED41A8" w:rsidP="00343034">
      <w:pPr>
        <w:spacing w:after="0"/>
        <w:ind w:left="720" w:hanging="720"/>
        <w:jc w:val="both"/>
        <w:rPr>
          <w:rFonts w:ascii="Times New Roman" w:eastAsia="Times New Roman" w:hAnsi="Times New Roman"/>
          <w:sz w:val="24"/>
          <w:szCs w:val="24"/>
        </w:rPr>
      </w:pPr>
      <w:r w:rsidRPr="00343034">
        <w:rPr>
          <w:rFonts w:ascii="Times New Roman" w:eastAsia="Times New Roman" w:hAnsi="Times New Roman"/>
          <w:sz w:val="24"/>
          <w:szCs w:val="24"/>
        </w:rPr>
        <w:t xml:space="preserve">Mathew, J. (2017). </w:t>
      </w:r>
      <w:r w:rsidRPr="00343034">
        <w:rPr>
          <w:rFonts w:ascii="Times New Roman" w:eastAsia="Times New Roman" w:hAnsi="Times New Roman"/>
          <w:i/>
          <w:iCs/>
          <w:sz w:val="24"/>
          <w:szCs w:val="24"/>
        </w:rPr>
        <w:t>Reasons-for-School-Dropouts-Survey-Report</w:t>
      </w:r>
      <w:r w:rsidRPr="00343034">
        <w:rPr>
          <w:rFonts w:ascii="Times New Roman" w:eastAsia="Times New Roman" w:hAnsi="Times New Roman"/>
          <w:sz w:val="24"/>
          <w:szCs w:val="24"/>
        </w:rPr>
        <w:t>. Mahatma Education Society.</w:t>
      </w:r>
    </w:p>
    <w:p w:rsidR="00ED41A8" w:rsidRPr="00343034" w:rsidRDefault="00ED41A8" w:rsidP="00343034">
      <w:pPr>
        <w:spacing w:after="0"/>
        <w:ind w:left="720" w:hanging="720"/>
        <w:jc w:val="both"/>
        <w:rPr>
          <w:rFonts w:ascii="Times New Roman" w:eastAsia="Times New Roman" w:hAnsi="Times New Roman"/>
          <w:sz w:val="24"/>
          <w:szCs w:val="24"/>
        </w:rPr>
      </w:pPr>
      <w:r w:rsidRPr="00343034">
        <w:rPr>
          <w:rFonts w:ascii="Times New Roman" w:eastAsia="Times New Roman" w:hAnsi="Times New Roman"/>
          <w:sz w:val="24"/>
          <w:szCs w:val="24"/>
        </w:rPr>
        <w:t xml:space="preserve">Jacob Doll, J., Eslami, Z., &amp; Walters, L. (2013). </w:t>
      </w:r>
      <w:r w:rsidRPr="00343034">
        <w:rPr>
          <w:rFonts w:ascii="Times New Roman" w:eastAsia="Times New Roman" w:hAnsi="Times New Roman"/>
          <w:i/>
          <w:iCs/>
          <w:sz w:val="24"/>
          <w:szCs w:val="24"/>
        </w:rPr>
        <w:t>Understanding Why Students Drop Out of High School, According to Their Own Reports: Are They Pushed or Pulled, or Do They Fall Out? A Comparative Analysis of Seven Nationally Representative Studies</w:t>
      </w:r>
      <w:r w:rsidRPr="00343034">
        <w:rPr>
          <w:rFonts w:ascii="Times New Roman" w:eastAsia="Times New Roman" w:hAnsi="Times New Roman"/>
          <w:sz w:val="24"/>
          <w:szCs w:val="24"/>
        </w:rPr>
        <w:t xml:space="preserve">. Sage Journals. </w:t>
      </w:r>
      <w:hyperlink r:id="rId16" w:tgtFrame="_new" w:history="1">
        <w:r w:rsidRPr="00343034">
          <w:rPr>
            <w:rFonts w:ascii="Times New Roman" w:eastAsia="Times New Roman" w:hAnsi="Times New Roman"/>
            <w:sz w:val="24"/>
            <w:szCs w:val="24"/>
            <w:u w:val="single"/>
          </w:rPr>
          <w:t>https://doi.org/10.1177/2158244013503834</w:t>
        </w:r>
      </w:hyperlink>
    </w:p>
    <w:p w:rsidR="00E427DB" w:rsidRDefault="00ED41A8" w:rsidP="00343034">
      <w:pPr>
        <w:spacing w:after="0"/>
        <w:ind w:left="720" w:hanging="720"/>
        <w:jc w:val="both"/>
        <w:rPr>
          <w:rFonts w:ascii="Times New Roman" w:eastAsia="Times New Roman" w:hAnsi="Times New Roman"/>
          <w:szCs w:val="24"/>
        </w:rPr>
      </w:pPr>
      <w:r w:rsidRPr="00343034">
        <w:rPr>
          <w:rFonts w:ascii="Times New Roman" w:eastAsia="Times New Roman" w:hAnsi="Times New Roman"/>
          <w:sz w:val="24"/>
          <w:szCs w:val="24"/>
        </w:rPr>
        <w:t xml:space="preserve">National Academies of Sciences, Engineering, and Medicine. (2011). </w:t>
      </w:r>
      <w:r w:rsidRPr="00343034">
        <w:rPr>
          <w:rFonts w:ascii="Times New Roman" w:eastAsia="Times New Roman" w:hAnsi="Times New Roman"/>
          <w:i/>
          <w:iCs/>
          <w:sz w:val="24"/>
          <w:szCs w:val="24"/>
        </w:rPr>
        <w:t>High School Dropout, Graduation, and Completion Rates: Better Data, Better Measures, Better Decisions</w:t>
      </w:r>
      <w:r w:rsidRPr="00343034">
        <w:rPr>
          <w:rFonts w:ascii="Times New Roman" w:eastAsia="Times New Roman" w:hAnsi="Times New Roman"/>
          <w:sz w:val="24"/>
          <w:szCs w:val="24"/>
        </w:rPr>
        <w:t xml:space="preserve">. Washington, DC: The National Academies Press. </w:t>
      </w:r>
      <w:hyperlink r:id="rId17" w:tgtFrame="_new" w:history="1">
        <w:r w:rsidRPr="00343034">
          <w:rPr>
            <w:rFonts w:ascii="Times New Roman" w:eastAsia="Times New Roman" w:hAnsi="Times New Roman"/>
            <w:sz w:val="24"/>
            <w:szCs w:val="24"/>
            <w:u w:val="single"/>
          </w:rPr>
          <w:t>https://doi.org/10.17226/13035</w:t>
        </w:r>
      </w:hyperlink>
      <w:r w:rsidRPr="00E54F95">
        <w:rPr>
          <w:rFonts w:ascii="Times New Roman" w:eastAsia="Times New Roman" w:hAnsi="Times New Roman"/>
          <w:szCs w:val="24"/>
        </w:rPr>
        <w:t>.</w:t>
      </w:r>
    </w:p>
    <w:p w:rsidR="00B5172F" w:rsidRDefault="00B5172F" w:rsidP="00343034">
      <w:pPr>
        <w:spacing w:after="0"/>
        <w:ind w:left="720" w:hanging="720"/>
        <w:jc w:val="both"/>
        <w:rPr>
          <w:rFonts w:ascii="Times New Roman" w:eastAsia="Times New Roman" w:hAnsi="Times New Roman"/>
          <w:szCs w:val="24"/>
        </w:rPr>
      </w:pPr>
    </w:p>
    <w:p w:rsidR="00B5172F" w:rsidRPr="00B5172F" w:rsidRDefault="00B5172F" w:rsidP="00343034">
      <w:pPr>
        <w:spacing w:after="0"/>
        <w:ind w:left="720" w:hanging="720"/>
        <w:jc w:val="both"/>
        <w:rPr>
          <w:rFonts w:ascii="Times New Roman" w:eastAsia="Times New Roman" w:hAnsi="Times New Roman"/>
          <w:color w:val="FFFFFF" w:themeColor="background1"/>
          <w:szCs w:val="24"/>
        </w:rPr>
      </w:pPr>
    </w:p>
    <w:p w:rsidR="00B5172F" w:rsidRPr="00B5172F" w:rsidRDefault="0005708E" w:rsidP="00B5172F">
      <w:pPr>
        <w:spacing w:after="0" w:line="240" w:lineRule="auto"/>
        <w:rPr>
          <w:rFonts w:ascii="Times New Roman" w:hAnsi="Times New Roman"/>
          <w:color w:val="FFFFFF" w:themeColor="background1"/>
          <w:sz w:val="8"/>
          <w:szCs w:val="8"/>
        </w:rPr>
      </w:pPr>
      <w:sdt>
        <w:sdtPr>
          <w:rPr>
            <w:rFonts w:ascii="Times New Roman" w:hAnsi="Times New Roman"/>
            <w:color w:val="FFFFFF" w:themeColor="background1"/>
            <w:sz w:val="8"/>
            <w:szCs w:val="8"/>
          </w:rPr>
          <w:id w:val="-69970519"/>
          <w:citation/>
        </w:sdtPr>
        <w:sdtEndPr/>
        <w:sdtContent>
          <w:r w:rsidR="00B5172F" w:rsidRPr="00B5172F">
            <w:rPr>
              <w:rFonts w:ascii="Times New Roman" w:hAnsi="Times New Roman"/>
              <w:color w:val="FFFFFF" w:themeColor="background1"/>
              <w:sz w:val="8"/>
              <w:szCs w:val="8"/>
            </w:rPr>
            <w:fldChar w:fldCharType="begin"/>
          </w:r>
          <w:r w:rsidR="00B5172F" w:rsidRPr="00B5172F">
            <w:rPr>
              <w:rFonts w:ascii="Times New Roman" w:hAnsi="Times New Roman"/>
              <w:color w:val="FFFFFF" w:themeColor="background1"/>
              <w:sz w:val="8"/>
              <w:szCs w:val="8"/>
              <w:lang w:val="en-GB"/>
            </w:rPr>
            <w:instrText xml:space="preserve">CITATION Mah231 \t  \l 2057 </w:instrText>
          </w:r>
          <w:r w:rsidR="00B5172F" w:rsidRPr="00B5172F">
            <w:rPr>
              <w:rFonts w:ascii="Times New Roman" w:hAnsi="Times New Roman"/>
              <w:color w:val="FFFFFF" w:themeColor="background1"/>
              <w:sz w:val="8"/>
              <w:szCs w:val="8"/>
            </w:rPr>
            <w:fldChar w:fldCharType="separate"/>
          </w:r>
          <w:r w:rsidR="00B5172F" w:rsidRPr="00B5172F">
            <w:rPr>
              <w:rFonts w:ascii="Times New Roman" w:hAnsi="Times New Roman"/>
              <w:noProof/>
              <w:color w:val="FFFFFF" w:themeColor="background1"/>
              <w:sz w:val="8"/>
              <w:szCs w:val="8"/>
            </w:rPr>
            <w:t>(Mahat, Neupane, &amp; Karki, 2023)</w:t>
          </w:r>
          <w:r w:rsidR="00B5172F" w:rsidRPr="00B5172F">
            <w:rPr>
              <w:rFonts w:ascii="Times New Roman" w:hAnsi="Times New Roman"/>
              <w:color w:val="FFFFFF" w:themeColor="background1"/>
              <w:sz w:val="8"/>
              <w:szCs w:val="8"/>
            </w:rPr>
            <w:fldChar w:fldCharType="end"/>
          </w:r>
        </w:sdtContent>
      </w:sdt>
      <w:r w:rsidR="00B5172F" w:rsidRPr="00B5172F">
        <w:rPr>
          <w:rFonts w:ascii="Times New Roman" w:hAnsi="Times New Roman"/>
          <w:color w:val="FFFFFF" w:themeColor="background1"/>
          <w:sz w:val="8"/>
          <w:szCs w:val="8"/>
        </w:rPr>
        <w:t xml:space="preserve">. </w:t>
      </w:r>
      <w:sdt>
        <w:sdtPr>
          <w:rPr>
            <w:rFonts w:ascii="Times New Roman" w:hAnsi="Times New Roman"/>
            <w:color w:val="FFFFFF" w:themeColor="background1"/>
            <w:sz w:val="8"/>
            <w:szCs w:val="8"/>
          </w:rPr>
          <w:id w:val="755333681"/>
          <w:citation/>
        </w:sdtPr>
        <w:sdtEndPr/>
        <w:sdtContent>
          <w:r w:rsidR="00B5172F" w:rsidRPr="00B5172F">
            <w:rPr>
              <w:rFonts w:ascii="Times New Roman" w:hAnsi="Times New Roman"/>
              <w:color w:val="FFFFFF" w:themeColor="background1"/>
              <w:sz w:val="8"/>
              <w:szCs w:val="8"/>
            </w:rPr>
            <w:fldChar w:fldCharType="begin"/>
          </w:r>
          <w:r w:rsidR="00B5172F" w:rsidRPr="00B5172F">
            <w:rPr>
              <w:rFonts w:ascii="Times New Roman" w:hAnsi="Times New Roman"/>
              <w:color w:val="FFFFFF" w:themeColor="background1"/>
              <w:sz w:val="8"/>
              <w:szCs w:val="8"/>
            </w:rPr>
            <w:instrText xml:space="preserve">CITATION Mah24 \t  \l 1033 </w:instrText>
          </w:r>
          <w:r w:rsidR="00B5172F" w:rsidRPr="00B5172F">
            <w:rPr>
              <w:rFonts w:ascii="Times New Roman" w:hAnsi="Times New Roman"/>
              <w:color w:val="FFFFFF" w:themeColor="background1"/>
              <w:sz w:val="8"/>
              <w:szCs w:val="8"/>
            </w:rPr>
            <w:fldChar w:fldCharType="separate"/>
          </w:r>
          <w:r w:rsidR="00B5172F" w:rsidRPr="00B5172F">
            <w:rPr>
              <w:rFonts w:ascii="Times New Roman" w:hAnsi="Times New Roman"/>
              <w:noProof/>
              <w:color w:val="FFFFFF" w:themeColor="background1"/>
              <w:sz w:val="8"/>
              <w:szCs w:val="8"/>
            </w:rPr>
            <w:t>(Mahat, Neupane, &amp; Shrestha, 2024)</w:t>
          </w:r>
          <w:r w:rsidR="00B5172F" w:rsidRPr="00B5172F">
            <w:rPr>
              <w:rFonts w:ascii="Times New Roman" w:hAnsi="Times New Roman"/>
              <w:color w:val="FFFFFF" w:themeColor="background1"/>
              <w:sz w:val="8"/>
              <w:szCs w:val="8"/>
            </w:rPr>
            <w:fldChar w:fldCharType="end"/>
          </w:r>
        </w:sdtContent>
      </w:sdt>
      <w:r w:rsidR="00B5172F" w:rsidRPr="00B5172F">
        <w:rPr>
          <w:rFonts w:ascii="Times New Roman" w:hAnsi="Times New Roman"/>
          <w:color w:val="FFFFFF" w:themeColor="background1"/>
          <w:sz w:val="8"/>
          <w:szCs w:val="8"/>
        </w:rPr>
        <w:t xml:space="preserve"> </w:t>
      </w:r>
      <w:sdt>
        <w:sdtPr>
          <w:rPr>
            <w:rFonts w:ascii="Times New Roman" w:hAnsi="Times New Roman"/>
            <w:color w:val="FFFFFF" w:themeColor="background1"/>
            <w:sz w:val="8"/>
            <w:szCs w:val="8"/>
          </w:rPr>
          <w:id w:val="-897277184"/>
          <w:citation/>
        </w:sdtPr>
        <w:sdtEndPr/>
        <w:sdtContent>
          <w:r w:rsidR="00B5172F" w:rsidRPr="00B5172F">
            <w:rPr>
              <w:rFonts w:ascii="Times New Roman" w:hAnsi="Times New Roman"/>
              <w:color w:val="FFFFFF" w:themeColor="background1"/>
              <w:sz w:val="8"/>
              <w:szCs w:val="8"/>
            </w:rPr>
            <w:fldChar w:fldCharType="begin"/>
          </w:r>
          <w:r w:rsidR="00B5172F" w:rsidRPr="00B5172F">
            <w:rPr>
              <w:rFonts w:ascii="Times New Roman" w:hAnsi="Times New Roman"/>
              <w:color w:val="FFFFFF" w:themeColor="background1"/>
              <w:sz w:val="8"/>
              <w:szCs w:val="8"/>
            </w:rPr>
            <w:instrText xml:space="preserve">CITATION Lam231 \t  \l 1033 </w:instrText>
          </w:r>
          <w:r w:rsidR="00B5172F" w:rsidRPr="00B5172F">
            <w:rPr>
              <w:rFonts w:ascii="Times New Roman" w:hAnsi="Times New Roman"/>
              <w:color w:val="FFFFFF" w:themeColor="background1"/>
              <w:sz w:val="8"/>
              <w:szCs w:val="8"/>
            </w:rPr>
            <w:fldChar w:fldCharType="separate"/>
          </w:r>
          <w:r w:rsidR="00B5172F" w:rsidRPr="00B5172F">
            <w:rPr>
              <w:rFonts w:ascii="Times New Roman" w:hAnsi="Times New Roman"/>
              <w:noProof/>
              <w:color w:val="FFFFFF" w:themeColor="background1"/>
              <w:sz w:val="8"/>
              <w:szCs w:val="8"/>
            </w:rPr>
            <w:t>(Lamichhane &amp; Neupane, 2023)</w:t>
          </w:r>
          <w:r w:rsidR="00B5172F" w:rsidRPr="00B5172F">
            <w:rPr>
              <w:rFonts w:ascii="Times New Roman" w:hAnsi="Times New Roman"/>
              <w:color w:val="FFFFFF" w:themeColor="background1"/>
              <w:sz w:val="8"/>
              <w:szCs w:val="8"/>
            </w:rPr>
            <w:fldChar w:fldCharType="end"/>
          </w:r>
        </w:sdtContent>
      </w:sdt>
      <w:r w:rsidR="00B5172F" w:rsidRPr="00B5172F">
        <w:rPr>
          <w:rFonts w:ascii="Times New Roman" w:hAnsi="Times New Roman"/>
          <w:color w:val="FFFFFF" w:themeColor="background1"/>
          <w:sz w:val="8"/>
          <w:szCs w:val="8"/>
        </w:rPr>
        <w:t xml:space="preserve">. </w:t>
      </w:r>
      <w:sdt>
        <w:sdtPr>
          <w:rPr>
            <w:rFonts w:ascii="Times New Roman" w:hAnsi="Times New Roman"/>
            <w:color w:val="FFFFFF" w:themeColor="background1"/>
            <w:sz w:val="8"/>
            <w:szCs w:val="8"/>
          </w:rPr>
          <w:id w:val="-1062327964"/>
          <w:citation/>
        </w:sdtPr>
        <w:sdtEndPr/>
        <w:sdtContent>
          <w:r w:rsidR="00B5172F" w:rsidRPr="00B5172F">
            <w:rPr>
              <w:rFonts w:ascii="Times New Roman" w:hAnsi="Times New Roman"/>
              <w:color w:val="FFFFFF" w:themeColor="background1"/>
              <w:sz w:val="8"/>
              <w:szCs w:val="8"/>
            </w:rPr>
            <w:fldChar w:fldCharType="begin"/>
          </w:r>
          <w:r w:rsidR="00B5172F" w:rsidRPr="00B5172F">
            <w:rPr>
              <w:rFonts w:ascii="Times New Roman" w:hAnsi="Times New Roman"/>
              <w:color w:val="FFFFFF" w:themeColor="background1"/>
              <w:sz w:val="8"/>
              <w:szCs w:val="8"/>
            </w:rPr>
            <w:instrText xml:space="preserve">CITATION Neu186 \t  \l 1033 </w:instrText>
          </w:r>
          <w:r w:rsidR="00B5172F" w:rsidRPr="00B5172F">
            <w:rPr>
              <w:rFonts w:ascii="Times New Roman" w:hAnsi="Times New Roman"/>
              <w:color w:val="FFFFFF" w:themeColor="background1"/>
              <w:sz w:val="8"/>
              <w:szCs w:val="8"/>
            </w:rPr>
            <w:fldChar w:fldCharType="separate"/>
          </w:r>
          <w:r w:rsidR="00B5172F" w:rsidRPr="00B5172F">
            <w:rPr>
              <w:rFonts w:ascii="Times New Roman" w:hAnsi="Times New Roman"/>
              <w:noProof/>
              <w:color w:val="FFFFFF" w:themeColor="background1"/>
              <w:sz w:val="8"/>
              <w:szCs w:val="8"/>
            </w:rPr>
            <w:t>(Neupane &amp; Subedi, 2018)</w:t>
          </w:r>
          <w:r w:rsidR="00B5172F" w:rsidRPr="00B5172F">
            <w:rPr>
              <w:rFonts w:ascii="Times New Roman" w:hAnsi="Times New Roman"/>
              <w:color w:val="FFFFFF" w:themeColor="background1"/>
              <w:sz w:val="8"/>
              <w:szCs w:val="8"/>
            </w:rPr>
            <w:fldChar w:fldCharType="end"/>
          </w:r>
        </w:sdtContent>
      </w:sdt>
      <w:r w:rsidR="00B5172F" w:rsidRPr="00B5172F">
        <w:rPr>
          <w:rFonts w:ascii="Times New Roman" w:hAnsi="Times New Roman"/>
          <w:color w:val="FFFFFF" w:themeColor="background1"/>
          <w:sz w:val="8"/>
          <w:szCs w:val="8"/>
        </w:rPr>
        <w:t xml:space="preserve">. </w:t>
      </w:r>
      <w:sdt>
        <w:sdtPr>
          <w:rPr>
            <w:rFonts w:ascii="Times New Roman" w:hAnsi="Times New Roman"/>
            <w:color w:val="FFFFFF" w:themeColor="background1"/>
            <w:sz w:val="8"/>
            <w:szCs w:val="8"/>
          </w:rPr>
          <w:id w:val="1733342850"/>
          <w:citation/>
        </w:sdtPr>
        <w:sdtEndPr/>
        <w:sdtContent>
          <w:r w:rsidR="00B5172F" w:rsidRPr="00B5172F">
            <w:rPr>
              <w:rFonts w:ascii="Times New Roman" w:hAnsi="Times New Roman"/>
              <w:color w:val="FFFFFF" w:themeColor="background1"/>
              <w:sz w:val="8"/>
              <w:szCs w:val="8"/>
            </w:rPr>
            <w:fldChar w:fldCharType="begin"/>
          </w:r>
          <w:r w:rsidR="00B5172F" w:rsidRPr="00B5172F">
            <w:rPr>
              <w:rFonts w:ascii="Times New Roman" w:hAnsi="Times New Roman"/>
              <w:color w:val="FFFFFF" w:themeColor="background1"/>
              <w:sz w:val="8"/>
              <w:szCs w:val="8"/>
              <w:lang w:val="en-GB"/>
            </w:rPr>
            <w:instrText xml:space="preserve">CITATION Neu193 \t  \l 2057 </w:instrText>
          </w:r>
          <w:r w:rsidR="00B5172F" w:rsidRPr="00B5172F">
            <w:rPr>
              <w:rFonts w:ascii="Times New Roman" w:hAnsi="Times New Roman"/>
              <w:color w:val="FFFFFF" w:themeColor="background1"/>
              <w:sz w:val="8"/>
              <w:szCs w:val="8"/>
            </w:rPr>
            <w:fldChar w:fldCharType="separate"/>
          </w:r>
          <w:r w:rsidR="00B5172F" w:rsidRPr="00B5172F">
            <w:rPr>
              <w:rFonts w:ascii="Times New Roman" w:hAnsi="Times New Roman"/>
              <w:noProof/>
              <w:color w:val="FFFFFF" w:themeColor="background1"/>
              <w:sz w:val="8"/>
              <w:szCs w:val="8"/>
            </w:rPr>
            <w:t>(Neupane, 2019)</w:t>
          </w:r>
          <w:r w:rsidR="00B5172F" w:rsidRPr="00B5172F">
            <w:rPr>
              <w:rFonts w:ascii="Times New Roman" w:hAnsi="Times New Roman"/>
              <w:color w:val="FFFFFF" w:themeColor="background1"/>
              <w:sz w:val="8"/>
              <w:szCs w:val="8"/>
            </w:rPr>
            <w:fldChar w:fldCharType="end"/>
          </w:r>
        </w:sdtContent>
      </w:sdt>
      <w:r w:rsidR="00B5172F" w:rsidRPr="00B5172F">
        <w:rPr>
          <w:rFonts w:ascii="Times New Roman" w:hAnsi="Times New Roman"/>
          <w:color w:val="FFFFFF" w:themeColor="background1"/>
          <w:sz w:val="8"/>
          <w:szCs w:val="8"/>
        </w:rPr>
        <w:t xml:space="preserve">. </w:t>
      </w:r>
      <w:sdt>
        <w:sdtPr>
          <w:rPr>
            <w:rFonts w:ascii="Times New Roman" w:hAnsi="Times New Roman"/>
            <w:color w:val="FFFFFF" w:themeColor="background1"/>
            <w:sz w:val="8"/>
            <w:szCs w:val="8"/>
          </w:rPr>
          <w:id w:val="-45305301"/>
          <w:citation/>
        </w:sdtPr>
        <w:sdtEndPr/>
        <w:sdtContent>
          <w:r w:rsidR="00B5172F" w:rsidRPr="00B5172F">
            <w:rPr>
              <w:rFonts w:ascii="Times New Roman" w:hAnsi="Times New Roman"/>
              <w:color w:val="FFFFFF" w:themeColor="background1"/>
              <w:sz w:val="8"/>
              <w:szCs w:val="8"/>
            </w:rPr>
            <w:fldChar w:fldCharType="begin"/>
          </w:r>
          <w:r w:rsidR="00B5172F" w:rsidRPr="00B5172F">
            <w:rPr>
              <w:rFonts w:ascii="Times New Roman" w:hAnsi="Times New Roman"/>
              <w:color w:val="FFFFFF" w:themeColor="background1"/>
              <w:sz w:val="8"/>
              <w:szCs w:val="8"/>
            </w:rPr>
            <w:instrText xml:space="preserve">CITATION Neu144 \t  \l 1033 </w:instrText>
          </w:r>
          <w:r w:rsidR="00B5172F" w:rsidRPr="00B5172F">
            <w:rPr>
              <w:rFonts w:ascii="Times New Roman" w:hAnsi="Times New Roman"/>
              <w:color w:val="FFFFFF" w:themeColor="background1"/>
              <w:sz w:val="8"/>
              <w:szCs w:val="8"/>
            </w:rPr>
            <w:fldChar w:fldCharType="separate"/>
          </w:r>
          <w:r w:rsidR="00B5172F" w:rsidRPr="00B5172F">
            <w:rPr>
              <w:rFonts w:ascii="Times New Roman" w:hAnsi="Times New Roman"/>
              <w:noProof/>
              <w:color w:val="FFFFFF" w:themeColor="background1"/>
              <w:sz w:val="8"/>
              <w:szCs w:val="8"/>
            </w:rPr>
            <w:t>(Neupane, 2014)</w:t>
          </w:r>
          <w:r w:rsidR="00B5172F" w:rsidRPr="00B5172F">
            <w:rPr>
              <w:rFonts w:ascii="Times New Roman" w:hAnsi="Times New Roman"/>
              <w:color w:val="FFFFFF" w:themeColor="background1"/>
              <w:sz w:val="8"/>
              <w:szCs w:val="8"/>
            </w:rPr>
            <w:fldChar w:fldCharType="end"/>
          </w:r>
        </w:sdtContent>
      </w:sdt>
      <w:r w:rsidR="00B5172F" w:rsidRPr="00B5172F">
        <w:rPr>
          <w:rFonts w:ascii="Times New Roman" w:hAnsi="Times New Roman"/>
          <w:color w:val="FFFFFF" w:themeColor="background1"/>
          <w:sz w:val="8"/>
          <w:szCs w:val="8"/>
        </w:rPr>
        <w:t xml:space="preserve">. </w:t>
      </w:r>
      <w:sdt>
        <w:sdtPr>
          <w:rPr>
            <w:rFonts w:ascii="Times New Roman" w:hAnsi="Times New Roman"/>
            <w:color w:val="FFFFFF" w:themeColor="background1"/>
            <w:sz w:val="8"/>
            <w:szCs w:val="8"/>
          </w:rPr>
          <w:id w:val="372278515"/>
          <w:citation/>
        </w:sdtPr>
        <w:sdtEndPr/>
        <w:sdtContent>
          <w:r w:rsidR="00B5172F" w:rsidRPr="00B5172F">
            <w:rPr>
              <w:rFonts w:ascii="Times New Roman" w:hAnsi="Times New Roman"/>
              <w:color w:val="FFFFFF" w:themeColor="background1"/>
              <w:sz w:val="8"/>
              <w:szCs w:val="8"/>
            </w:rPr>
            <w:fldChar w:fldCharType="begin"/>
          </w:r>
          <w:r w:rsidR="00B5172F" w:rsidRPr="00B5172F">
            <w:rPr>
              <w:rFonts w:ascii="Times New Roman" w:hAnsi="Times New Roman"/>
              <w:color w:val="FFFFFF" w:themeColor="background1"/>
              <w:sz w:val="8"/>
              <w:szCs w:val="8"/>
            </w:rPr>
            <w:instrText xml:space="preserve">CITATION Neu187 \t  \l 1033 </w:instrText>
          </w:r>
          <w:r w:rsidR="00B5172F" w:rsidRPr="00B5172F">
            <w:rPr>
              <w:rFonts w:ascii="Times New Roman" w:hAnsi="Times New Roman"/>
              <w:color w:val="FFFFFF" w:themeColor="background1"/>
              <w:sz w:val="8"/>
              <w:szCs w:val="8"/>
            </w:rPr>
            <w:fldChar w:fldCharType="separate"/>
          </w:r>
          <w:r w:rsidR="00B5172F" w:rsidRPr="00B5172F">
            <w:rPr>
              <w:rFonts w:ascii="Times New Roman" w:hAnsi="Times New Roman"/>
              <w:noProof/>
              <w:color w:val="FFFFFF" w:themeColor="background1"/>
              <w:sz w:val="8"/>
              <w:szCs w:val="8"/>
            </w:rPr>
            <w:t>(Neupane, 2018)</w:t>
          </w:r>
          <w:r w:rsidR="00B5172F" w:rsidRPr="00B5172F">
            <w:rPr>
              <w:rFonts w:ascii="Times New Roman" w:hAnsi="Times New Roman"/>
              <w:color w:val="FFFFFF" w:themeColor="background1"/>
              <w:sz w:val="8"/>
              <w:szCs w:val="8"/>
            </w:rPr>
            <w:fldChar w:fldCharType="end"/>
          </w:r>
        </w:sdtContent>
      </w:sdt>
      <w:r w:rsidR="00B5172F" w:rsidRPr="00B5172F">
        <w:rPr>
          <w:rFonts w:ascii="Times New Roman" w:hAnsi="Times New Roman"/>
          <w:color w:val="FFFFFF" w:themeColor="background1"/>
          <w:sz w:val="8"/>
          <w:szCs w:val="8"/>
        </w:rPr>
        <w:t xml:space="preserve">. </w:t>
      </w:r>
      <w:sdt>
        <w:sdtPr>
          <w:rPr>
            <w:rFonts w:ascii="Times New Roman" w:hAnsi="Times New Roman"/>
            <w:color w:val="FFFFFF" w:themeColor="background1"/>
            <w:sz w:val="8"/>
            <w:szCs w:val="8"/>
          </w:rPr>
          <w:id w:val="-1921090027"/>
          <w:citation/>
        </w:sdtPr>
        <w:sdtEndPr/>
        <w:sdtContent>
          <w:r w:rsidR="00B5172F" w:rsidRPr="00B5172F">
            <w:rPr>
              <w:rFonts w:ascii="Times New Roman" w:hAnsi="Times New Roman"/>
              <w:color w:val="FFFFFF" w:themeColor="background1"/>
              <w:sz w:val="8"/>
              <w:szCs w:val="8"/>
            </w:rPr>
            <w:fldChar w:fldCharType="begin"/>
          </w:r>
          <w:r w:rsidR="00B5172F" w:rsidRPr="00B5172F">
            <w:rPr>
              <w:rFonts w:ascii="Times New Roman" w:hAnsi="Times New Roman"/>
              <w:color w:val="FFFFFF" w:themeColor="background1"/>
              <w:sz w:val="8"/>
              <w:szCs w:val="8"/>
            </w:rPr>
            <w:instrText xml:space="preserve">CITATION Neu232 \t  \l 1033 </w:instrText>
          </w:r>
          <w:r w:rsidR="00B5172F" w:rsidRPr="00B5172F">
            <w:rPr>
              <w:rFonts w:ascii="Times New Roman" w:hAnsi="Times New Roman"/>
              <w:color w:val="FFFFFF" w:themeColor="background1"/>
              <w:sz w:val="8"/>
              <w:szCs w:val="8"/>
            </w:rPr>
            <w:fldChar w:fldCharType="separate"/>
          </w:r>
          <w:r w:rsidR="00B5172F" w:rsidRPr="00B5172F">
            <w:rPr>
              <w:rFonts w:ascii="Times New Roman" w:hAnsi="Times New Roman"/>
              <w:noProof/>
              <w:color w:val="FFFFFF" w:themeColor="background1"/>
              <w:sz w:val="8"/>
              <w:szCs w:val="8"/>
            </w:rPr>
            <w:t>(Neupane, Panta, &amp; Bhattarai, 2023)</w:t>
          </w:r>
          <w:r w:rsidR="00B5172F" w:rsidRPr="00B5172F">
            <w:rPr>
              <w:rFonts w:ascii="Times New Roman" w:hAnsi="Times New Roman"/>
              <w:color w:val="FFFFFF" w:themeColor="background1"/>
              <w:sz w:val="8"/>
              <w:szCs w:val="8"/>
            </w:rPr>
            <w:fldChar w:fldCharType="end"/>
          </w:r>
        </w:sdtContent>
      </w:sdt>
      <w:r w:rsidR="00B5172F" w:rsidRPr="00B5172F">
        <w:rPr>
          <w:rFonts w:ascii="Times New Roman" w:hAnsi="Times New Roman"/>
          <w:color w:val="FFFFFF" w:themeColor="background1"/>
          <w:sz w:val="8"/>
          <w:szCs w:val="8"/>
        </w:rPr>
        <w:t xml:space="preserve">. </w:t>
      </w:r>
      <w:sdt>
        <w:sdtPr>
          <w:rPr>
            <w:rFonts w:ascii="Times New Roman" w:hAnsi="Times New Roman"/>
            <w:color w:val="FFFFFF" w:themeColor="background1"/>
            <w:sz w:val="8"/>
            <w:szCs w:val="8"/>
          </w:rPr>
          <w:id w:val="1005720655"/>
          <w:citation/>
        </w:sdtPr>
        <w:sdtEndPr/>
        <w:sdtContent>
          <w:r w:rsidR="00B5172F" w:rsidRPr="00B5172F">
            <w:rPr>
              <w:rFonts w:ascii="Times New Roman" w:hAnsi="Times New Roman"/>
              <w:color w:val="FFFFFF" w:themeColor="background1"/>
              <w:sz w:val="8"/>
              <w:szCs w:val="8"/>
            </w:rPr>
            <w:fldChar w:fldCharType="begin"/>
          </w:r>
          <w:r w:rsidR="00B5172F" w:rsidRPr="00B5172F">
            <w:rPr>
              <w:rFonts w:ascii="Times New Roman" w:hAnsi="Times New Roman"/>
              <w:color w:val="FFFFFF" w:themeColor="background1"/>
              <w:sz w:val="8"/>
              <w:szCs w:val="8"/>
            </w:rPr>
            <w:instrText xml:space="preserve">CITATION Dip18 \t  \l 1033 </w:instrText>
          </w:r>
          <w:r w:rsidR="00B5172F" w:rsidRPr="00B5172F">
            <w:rPr>
              <w:rFonts w:ascii="Times New Roman" w:hAnsi="Times New Roman"/>
              <w:color w:val="FFFFFF" w:themeColor="background1"/>
              <w:sz w:val="8"/>
              <w:szCs w:val="8"/>
            </w:rPr>
            <w:fldChar w:fldCharType="separate"/>
          </w:r>
          <w:r w:rsidR="00B5172F" w:rsidRPr="00B5172F">
            <w:rPr>
              <w:rFonts w:ascii="Times New Roman" w:hAnsi="Times New Roman"/>
              <w:noProof/>
              <w:color w:val="FFFFFF" w:themeColor="background1"/>
              <w:sz w:val="8"/>
              <w:szCs w:val="8"/>
            </w:rPr>
            <w:t>(Adhikari D. B., Ghimire, Neupane, &amp; Regmi, 2018)</w:t>
          </w:r>
          <w:r w:rsidR="00B5172F" w:rsidRPr="00B5172F">
            <w:rPr>
              <w:rFonts w:ascii="Times New Roman" w:hAnsi="Times New Roman"/>
              <w:color w:val="FFFFFF" w:themeColor="background1"/>
              <w:sz w:val="8"/>
              <w:szCs w:val="8"/>
            </w:rPr>
            <w:fldChar w:fldCharType="end"/>
          </w:r>
        </w:sdtContent>
      </w:sdt>
      <w:r w:rsidR="00B5172F" w:rsidRPr="00B5172F">
        <w:rPr>
          <w:rFonts w:ascii="Times New Roman" w:hAnsi="Times New Roman"/>
          <w:color w:val="FFFFFF" w:themeColor="background1"/>
          <w:sz w:val="8"/>
          <w:szCs w:val="8"/>
        </w:rPr>
        <w:t xml:space="preserve"> </w:t>
      </w:r>
      <w:sdt>
        <w:sdtPr>
          <w:rPr>
            <w:rFonts w:ascii="Times New Roman" w:hAnsi="Times New Roman"/>
            <w:color w:val="FFFFFF" w:themeColor="background1"/>
            <w:sz w:val="8"/>
            <w:szCs w:val="8"/>
          </w:rPr>
          <w:id w:val="2131516607"/>
          <w:citation/>
        </w:sdtPr>
        <w:sdtEndPr/>
        <w:sdtContent>
          <w:r w:rsidR="00B5172F" w:rsidRPr="00B5172F">
            <w:rPr>
              <w:rFonts w:ascii="Times New Roman" w:hAnsi="Times New Roman"/>
              <w:color w:val="FFFFFF" w:themeColor="background1"/>
              <w:sz w:val="8"/>
              <w:szCs w:val="8"/>
            </w:rPr>
            <w:fldChar w:fldCharType="begin"/>
          </w:r>
          <w:r w:rsidR="00B5172F" w:rsidRPr="00B5172F">
            <w:rPr>
              <w:rFonts w:ascii="Times New Roman" w:hAnsi="Times New Roman"/>
              <w:color w:val="FFFFFF" w:themeColor="background1"/>
              <w:sz w:val="8"/>
              <w:szCs w:val="8"/>
            </w:rPr>
            <w:instrText xml:space="preserve">CITATION Ghi22 \t  \l 1033 </w:instrText>
          </w:r>
          <w:r w:rsidR="00B5172F" w:rsidRPr="00B5172F">
            <w:rPr>
              <w:rFonts w:ascii="Times New Roman" w:hAnsi="Times New Roman"/>
              <w:color w:val="FFFFFF" w:themeColor="background1"/>
              <w:sz w:val="8"/>
              <w:szCs w:val="8"/>
            </w:rPr>
            <w:fldChar w:fldCharType="separate"/>
          </w:r>
          <w:r w:rsidR="00B5172F" w:rsidRPr="00B5172F">
            <w:rPr>
              <w:rFonts w:ascii="Times New Roman" w:hAnsi="Times New Roman"/>
              <w:noProof/>
              <w:color w:val="FFFFFF" w:themeColor="background1"/>
              <w:sz w:val="8"/>
              <w:szCs w:val="8"/>
            </w:rPr>
            <w:t>(Ghimire &amp; Neupane, 2022)</w:t>
          </w:r>
          <w:r w:rsidR="00B5172F" w:rsidRPr="00B5172F">
            <w:rPr>
              <w:rFonts w:ascii="Times New Roman" w:hAnsi="Times New Roman"/>
              <w:color w:val="FFFFFF" w:themeColor="background1"/>
              <w:sz w:val="8"/>
              <w:szCs w:val="8"/>
            </w:rPr>
            <w:fldChar w:fldCharType="end"/>
          </w:r>
        </w:sdtContent>
      </w:sdt>
      <w:r w:rsidR="00B5172F" w:rsidRPr="00B5172F">
        <w:rPr>
          <w:rFonts w:ascii="Times New Roman" w:hAnsi="Times New Roman"/>
          <w:color w:val="FFFFFF" w:themeColor="background1"/>
          <w:sz w:val="8"/>
          <w:szCs w:val="8"/>
        </w:rPr>
        <w:t xml:space="preserve"> </w:t>
      </w:r>
      <w:sdt>
        <w:sdtPr>
          <w:rPr>
            <w:rFonts w:ascii="Times New Roman" w:hAnsi="Times New Roman"/>
            <w:color w:val="FFFFFF" w:themeColor="background1"/>
            <w:sz w:val="8"/>
            <w:szCs w:val="8"/>
          </w:rPr>
          <w:id w:val="1253709173"/>
          <w:citation/>
        </w:sdtPr>
        <w:sdtEndPr/>
        <w:sdtContent>
          <w:r w:rsidR="00B5172F" w:rsidRPr="00B5172F">
            <w:rPr>
              <w:rFonts w:ascii="Times New Roman" w:hAnsi="Times New Roman"/>
              <w:color w:val="FFFFFF" w:themeColor="background1"/>
              <w:sz w:val="8"/>
              <w:szCs w:val="8"/>
            </w:rPr>
            <w:fldChar w:fldCharType="begin"/>
          </w:r>
          <w:r w:rsidR="00B5172F" w:rsidRPr="00B5172F">
            <w:rPr>
              <w:rFonts w:ascii="Times New Roman" w:hAnsi="Times New Roman"/>
              <w:color w:val="FFFFFF" w:themeColor="background1"/>
              <w:sz w:val="8"/>
              <w:szCs w:val="8"/>
            </w:rPr>
            <w:instrText xml:space="preserve">CITATION Adh18 \t  \l 1033 </w:instrText>
          </w:r>
          <w:r w:rsidR="00B5172F" w:rsidRPr="00B5172F">
            <w:rPr>
              <w:rFonts w:ascii="Times New Roman" w:hAnsi="Times New Roman"/>
              <w:color w:val="FFFFFF" w:themeColor="background1"/>
              <w:sz w:val="8"/>
              <w:szCs w:val="8"/>
            </w:rPr>
            <w:fldChar w:fldCharType="separate"/>
          </w:r>
          <w:r w:rsidR="00B5172F" w:rsidRPr="00B5172F">
            <w:rPr>
              <w:rFonts w:ascii="Times New Roman" w:hAnsi="Times New Roman"/>
              <w:noProof/>
              <w:color w:val="FFFFFF" w:themeColor="background1"/>
              <w:sz w:val="8"/>
              <w:szCs w:val="8"/>
            </w:rPr>
            <w:t>(Adhikari D. B., Ghimire, Neupane, &amp; Dhakal, 2018)</w:t>
          </w:r>
          <w:r w:rsidR="00B5172F" w:rsidRPr="00B5172F">
            <w:rPr>
              <w:rFonts w:ascii="Times New Roman" w:hAnsi="Times New Roman"/>
              <w:color w:val="FFFFFF" w:themeColor="background1"/>
              <w:sz w:val="8"/>
              <w:szCs w:val="8"/>
            </w:rPr>
            <w:fldChar w:fldCharType="end"/>
          </w:r>
        </w:sdtContent>
      </w:sdt>
    </w:p>
    <w:p w:rsidR="00B5172F" w:rsidRPr="00B5172F" w:rsidRDefault="0005708E" w:rsidP="00B5172F">
      <w:pPr>
        <w:spacing w:after="0" w:line="240" w:lineRule="auto"/>
        <w:jc w:val="both"/>
        <w:rPr>
          <w:rFonts w:ascii="Times New Roman" w:hAnsi="Times New Roman"/>
          <w:color w:val="FFFFFF" w:themeColor="background1"/>
          <w:sz w:val="8"/>
          <w:szCs w:val="8"/>
        </w:rPr>
      </w:pPr>
      <w:sdt>
        <w:sdtPr>
          <w:rPr>
            <w:rFonts w:ascii="Times New Roman" w:hAnsi="Times New Roman"/>
            <w:color w:val="FFFFFF" w:themeColor="background1"/>
            <w:sz w:val="8"/>
            <w:szCs w:val="8"/>
          </w:rPr>
          <w:id w:val="-185129025"/>
          <w:citation/>
        </w:sdtPr>
        <w:sdtEndPr/>
        <w:sdtContent>
          <w:r w:rsidR="00B5172F" w:rsidRPr="00B5172F">
            <w:rPr>
              <w:rFonts w:ascii="Times New Roman" w:hAnsi="Times New Roman"/>
              <w:color w:val="FFFFFF" w:themeColor="background1"/>
              <w:sz w:val="8"/>
              <w:szCs w:val="8"/>
            </w:rPr>
            <w:fldChar w:fldCharType="begin"/>
          </w:r>
          <w:r w:rsidR="00B5172F" w:rsidRPr="00B5172F">
            <w:rPr>
              <w:rFonts w:ascii="Times New Roman" w:hAnsi="Times New Roman"/>
              <w:color w:val="FFFFFF" w:themeColor="background1"/>
              <w:sz w:val="8"/>
              <w:szCs w:val="8"/>
            </w:rPr>
            <w:instrText xml:space="preserve"> CITATION Shr23 \l 1033 </w:instrText>
          </w:r>
          <w:r w:rsidR="00B5172F" w:rsidRPr="00B5172F">
            <w:rPr>
              <w:rFonts w:ascii="Times New Roman" w:hAnsi="Times New Roman"/>
              <w:color w:val="FFFFFF" w:themeColor="background1"/>
              <w:sz w:val="8"/>
              <w:szCs w:val="8"/>
            </w:rPr>
            <w:fldChar w:fldCharType="separate"/>
          </w:r>
          <w:r w:rsidR="00B5172F" w:rsidRPr="00B5172F">
            <w:rPr>
              <w:rFonts w:ascii="Times New Roman" w:hAnsi="Times New Roman"/>
              <w:noProof/>
              <w:color w:val="FFFFFF" w:themeColor="background1"/>
              <w:sz w:val="8"/>
              <w:szCs w:val="8"/>
            </w:rPr>
            <w:t>(Shrestha &amp; Timalsena, 2023)</w:t>
          </w:r>
          <w:r w:rsidR="00B5172F" w:rsidRPr="00B5172F">
            <w:rPr>
              <w:rFonts w:ascii="Times New Roman" w:hAnsi="Times New Roman"/>
              <w:color w:val="FFFFFF" w:themeColor="background1"/>
              <w:sz w:val="8"/>
              <w:szCs w:val="8"/>
            </w:rPr>
            <w:fldChar w:fldCharType="end"/>
          </w:r>
        </w:sdtContent>
      </w:sdt>
      <w:r w:rsidR="00B5172F" w:rsidRPr="00B5172F">
        <w:rPr>
          <w:rFonts w:ascii="Times New Roman" w:hAnsi="Times New Roman"/>
          <w:color w:val="FFFFFF" w:themeColor="background1"/>
          <w:sz w:val="8"/>
          <w:szCs w:val="8"/>
        </w:rPr>
        <w:t xml:space="preserve"> </w:t>
      </w:r>
      <w:sdt>
        <w:sdtPr>
          <w:rPr>
            <w:rFonts w:ascii="Times New Roman" w:hAnsi="Times New Roman"/>
            <w:color w:val="FFFFFF" w:themeColor="background1"/>
            <w:sz w:val="8"/>
            <w:szCs w:val="8"/>
          </w:rPr>
          <w:id w:val="-319583378"/>
          <w:citation/>
        </w:sdtPr>
        <w:sdtEndPr/>
        <w:sdtContent>
          <w:r w:rsidR="00B5172F" w:rsidRPr="00B5172F">
            <w:rPr>
              <w:rFonts w:ascii="Times New Roman" w:hAnsi="Times New Roman"/>
              <w:color w:val="FFFFFF" w:themeColor="background1"/>
              <w:sz w:val="8"/>
              <w:szCs w:val="8"/>
            </w:rPr>
            <w:fldChar w:fldCharType="begin"/>
          </w:r>
          <w:r w:rsidR="00B5172F" w:rsidRPr="00B5172F">
            <w:rPr>
              <w:rFonts w:ascii="Times New Roman" w:hAnsi="Times New Roman"/>
              <w:color w:val="FFFFFF" w:themeColor="background1"/>
              <w:sz w:val="8"/>
              <w:szCs w:val="8"/>
            </w:rPr>
            <w:instrText xml:space="preserve">CITATION Neu146 \t  \l 1033 </w:instrText>
          </w:r>
          <w:r w:rsidR="00B5172F" w:rsidRPr="00B5172F">
            <w:rPr>
              <w:rFonts w:ascii="Times New Roman" w:hAnsi="Times New Roman"/>
              <w:color w:val="FFFFFF" w:themeColor="background1"/>
              <w:sz w:val="8"/>
              <w:szCs w:val="8"/>
            </w:rPr>
            <w:fldChar w:fldCharType="separate"/>
          </w:r>
          <w:r w:rsidR="00B5172F" w:rsidRPr="00B5172F">
            <w:rPr>
              <w:rFonts w:ascii="Times New Roman" w:hAnsi="Times New Roman"/>
              <w:noProof/>
              <w:color w:val="FFFFFF" w:themeColor="background1"/>
              <w:sz w:val="8"/>
              <w:szCs w:val="8"/>
            </w:rPr>
            <w:t>(Neupane, 2014)</w:t>
          </w:r>
          <w:r w:rsidR="00B5172F" w:rsidRPr="00B5172F">
            <w:rPr>
              <w:rFonts w:ascii="Times New Roman" w:hAnsi="Times New Roman"/>
              <w:color w:val="FFFFFF" w:themeColor="background1"/>
              <w:sz w:val="8"/>
              <w:szCs w:val="8"/>
            </w:rPr>
            <w:fldChar w:fldCharType="end"/>
          </w:r>
        </w:sdtContent>
      </w:sdt>
    </w:p>
    <w:p w:rsidR="00B5172F" w:rsidRPr="00B5172F" w:rsidRDefault="00B5172F" w:rsidP="00B5172F">
      <w:pPr>
        <w:spacing w:after="0" w:line="240" w:lineRule="auto"/>
        <w:ind w:left="720" w:hanging="720"/>
        <w:jc w:val="both"/>
        <w:rPr>
          <w:rFonts w:ascii="Times New Roman" w:eastAsia="Times New Roman" w:hAnsi="Times New Roman"/>
          <w:color w:val="FFFFFF" w:themeColor="background1"/>
          <w:sz w:val="6"/>
          <w:szCs w:val="8"/>
        </w:rPr>
      </w:pPr>
    </w:p>
    <w:sdt>
      <w:sdtPr>
        <w:rPr>
          <w:rFonts w:ascii="Calibri" w:eastAsia="Calibri" w:hAnsi="Calibri"/>
          <w:b w:val="0"/>
          <w:bCs w:val="0"/>
          <w:color w:val="FFFFFF" w:themeColor="background1"/>
          <w:kern w:val="0"/>
          <w:sz w:val="8"/>
          <w:szCs w:val="8"/>
        </w:rPr>
        <w:id w:val="-430975209"/>
        <w:docPartObj>
          <w:docPartGallery w:val="Bibliographies"/>
          <w:docPartUnique/>
        </w:docPartObj>
      </w:sdtPr>
      <w:sdtEndPr>
        <w:rPr>
          <w:sz w:val="22"/>
          <w:szCs w:val="22"/>
        </w:rPr>
      </w:sdtEndPr>
      <w:sdtContent>
        <w:p w:rsidR="00B5172F" w:rsidRPr="00B5172F" w:rsidRDefault="00B5172F" w:rsidP="00B5172F">
          <w:pPr>
            <w:pStyle w:val="Heading1"/>
            <w:spacing w:before="0" w:beforeAutospacing="0" w:after="0" w:afterAutospacing="0"/>
            <w:rPr>
              <w:color w:val="FFFFFF" w:themeColor="background1"/>
              <w:sz w:val="8"/>
              <w:szCs w:val="8"/>
            </w:rPr>
          </w:pPr>
          <w:r w:rsidRPr="00B5172F">
            <w:rPr>
              <w:color w:val="FFFFFF" w:themeColor="background1"/>
              <w:sz w:val="8"/>
              <w:szCs w:val="8"/>
            </w:rPr>
            <w:t>References</w:t>
          </w:r>
        </w:p>
        <w:sdt>
          <w:sdtPr>
            <w:rPr>
              <w:color w:val="FFFFFF" w:themeColor="background1"/>
              <w:sz w:val="6"/>
              <w:szCs w:val="6"/>
            </w:rPr>
            <w:id w:val="-573587230"/>
            <w:bibliography/>
          </w:sdtPr>
          <w:sdtEndPr>
            <w:rPr>
              <w:sz w:val="22"/>
              <w:szCs w:val="22"/>
            </w:rPr>
          </w:sdtEndPr>
          <w:sdtContent>
            <w:p w:rsidR="00B5172F" w:rsidRPr="00B5172F" w:rsidRDefault="00B5172F" w:rsidP="00B5172F">
              <w:pPr>
                <w:pStyle w:val="Bibliography"/>
                <w:spacing w:after="0" w:line="240" w:lineRule="auto"/>
                <w:ind w:left="720" w:hanging="720"/>
                <w:rPr>
                  <w:noProof/>
                  <w:color w:val="FFFFFF" w:themeColor="background1"/>
                  <w:sz w:val="8"/>
                  <w:szCs w:val="6"/>
                </w:rPr>
              </w:pPr>
              <w:r w:rsidRPr="00B5172F">
                <w:rPr>
                  <w:color w:val="FFFFFF" w:themeColor="background1"/>
                  <w:sz w:val="6"/>
                  <w:szCs w:val="6"/>
                </w:rPr>
                <w:fldChar w:fldCharType="begin"/>
              </w:r>
              <w:r w:rsidRPr="00B5172F">
                <w:rPr>
                  <w:color w:val="FFFFFF" w:themeColor="background1"/>
                  <w:sz w:val="6"/>
                  <w:szCs w:val="6"/>
                </w:rPr>
                <w:instrText xml:space="preserve"> BIBLIOGRAPHY </w:instrText>
              </w:r>
              <w:r w:rsidRPr="00B5172F">
                <w:rPr>
                  <w:color w:val="FFFFFF" w:themeColor="background1"/>
                  <w:sz w:val="6"/>
                  <w:szCs w:val="6"/>
                </w:rPr>
                <w:fldChar w:fldCharType="separate"/>
              </w:r>
              <w:r w:rsidRPr="00B5172F">
                <w:rPr>
                  <w:noProof/>
                  <w:color w:val="FFFFFF" w:themeColor="background1"/>
                  <w:sz w:val="6"/>
                  <w:szCs w:val="6"/>
                </w:rPr>
                <w:t xml:space="preserve">Adhikari, D. B., Ghimire, M. N., Neupane, D., &amp; Dhakal, R. L. (2018). An explorative study of academic performance of school students with reference to Ethnicity. </w:t>
              </w:r>
              <w:r w:rsidRPr="00B5172F">
                <w:rPr>
                  <w:i/>
                  <w:iCs/>
                  <w:noProof/>
                  <w:color w:val="FFFFFF" w:themeColor="background1"/>
                  <w:sz w:val="6"/>
                  <w:szCs w:val="6"/>
                </w:rPr>
                <w:t>International Journal of Applied Research, 4</w:t>
              </w:r>
              <w:r w:rsidRPr="00B5172F">
                <w:rPr>
                  <w:noProof/>
                  <w:color w:val="FFFFFF" w:themeColor="background1"/>
                  <w:sz w:val="6"/>
                  <w:szCs w:val="6"/>
                </w:rPr>
                <w:t>(5), 36-38.</w:t>
              </w:r>
            </w:p>
            <w:p w:rsidR="00B5172F" w:rsidRPr="00B5172F" w:rsidRDefault="00B5172F" w:rsidP="00B5172F">
              <w:pPr>
                <w:pStyle w:val="Bibliography"/>
                <w:spacing w:after="0" w:line="240" w:lineRule="auto"/>
                <w:ind w:left="720" w:hanging="720"/>
                <w:rPr>
                  <w:noProof/>
                  <w:color w:val="FFFFFF" w:themeColor="background1"/>
                  <w:sz w:val="6"/>
                  <w:szCs w:val="6"/>
                </w:rPr>
              </w:pPr>
              <w:r w:rsidRPr="00B5172F">
                <w:rPr>
                  <w:noProof/>
                  <w:color w:val="FFFFFF" w:themeColor="background1"/>
                  <w:sz w:val="6"/>
                  <w:szCs w:val="6"/>
                </w:rPr>
                <w:t xml:space="preserve">Adhikari, D. B., Ghimire, M., Neupane, D., &amp; Regmi, R. B. (2018). An exploratory research on academic performance of school students with reference to religion. </w:t>
              </w:r>
              <w:r w:rsidRPr="00B5172F">
                <w:rPr>
                  <w:i/>
                  <w:iCs/>
                  <w:noProof/>
                  <w:color w:val="FFFFFF" w:themeColor="background1"/>
                  <w:sz w:val="6"/>
                  <w:szCs w:val="6"/>
                </w:rPr>
                <w:t>International Journal of Applied Research, 4</w:t>
              </w:r>
              <w:r w:rsidRPr="00B5172F">
                <w:rPr>
                  <w:noProof/>
                  <w:color w:val="FFFFFF" w:themeColor="background1"/>
                  <w:sz w:val="6"/>
                  <w:szCs w:val="6"/>
                </w:rPr>
                <w:t>(5), 76-81.</w:t>
              </w:r>
            </w:p>
            <w:p w:rsidR="00B5172F" w:rsidRPr="00B5172F" w:rsidRDefault="00B5172F" w:rsidP="00B5172F">
              <w:pPr>
                <w:pStyle w:val="Bibliography"/>
                <w:spacing w:after="0" w:line="240" w:lineRule="auto"/>
                <w:ind w:left="720" w:hanging="720"/>
                <w:rPr>
                  <w:noProof/>
                  <w:color w:val="FFFFFF" w:themeColor="background1"/>
                  <w:sz w:val="6"/>
                  <w:szCs w:val="6"/>
                </w:rPr>
              </w:pPr>
              <w:r w:rsidRPr="00B5172F">
                <w:rPr>
                  <w:noProof/>
                  <w:color w:val="FFFFFF" w:themeColor="background1"/>
                  <w:sz w:val="6"/>
                  <w:szCs w:val="6"/>
                </w:rPr>
                <w:t xml:space="preserve">Ghimire, M. N., &amp; Neupane, D. (2022). An Exploratory Study on Status of Homestays from Lamjung. </w:t>
              </w:r>
              <w:r w:rsidRPr="00B5172F">
                <w:rPr>
                  <w:i/>
                  <w:iCs/>
                  <w:noProof/>
                  <w:color w:val="FFFFFF" w:themeColor="background1"/>
                  <w:sz w:val="6"/>
                  <w:szCs w:val="6"/>
                </w:rPr>
                <w:t>Nepal Journal of Multidisciplinary Research (NJMR), 5</w:t>
              </w:r>
              <w:r w:rsidRPr="00B5172F">
                <w:rPr>
                  <w:noProof/>
                  <w:color w:val="FFFFFF" w:themeColor="background1"/>
                  <w:sz w:val="6"/>
                  <w:szCs w:val="6"/>
                </w:rPr>
                <w:t>(5), 119-126. doi:https://doi.org/10.3126/njmr.v5i5.51812</w:t>
              </w:r>
            </w:p>
            <w:p w:rsidR="00B5172F" w:rsidRPr="00B5172F" w:rsidRDefault="00B5172F" w:rsidP="00B5172F">
              <w:pPr>
                <w:pStyle w:val="Bibliography"/>
                <w:spacing w:after="0" w:line="240" w:lineRule="auto"/>
                <w:ind w:left="720" w:hanging="720"/>
                <w:rPr>
                  <w:noProof/>
                  <w:color w:val="FFFFFF" w:themeColor="background1"/>
                  <w:sz w:val="6"/>
                  <w:szCs w:val="6"/>
                </w:rPr>
              </w:pPr>
              <w:r w:rsidRPr="00B5172F">
                <w:rPr>
                  <w:noProof/>
                  <w:color w:val="FFFFFF" w:themeColor="background1"/>
                  <w:sz w:val="6"/>
                  <w:szCs w:val="6"/>
                </w:rPr>
                <w:t xml:space="preserve">Lamichhane, B., &amp; Neupane, D. (2023). Perceived Organizational Support in Nepalese Banks. </w:t>
              </w:r>
              <w:r w:rsidRPr="00B5172F">
                <w:rPr>
                  <w:i/>
                  <w:iCs/>
                  <w:noProof/>
                  <w:color w:val="FFFFFF" w:themeColor="background1"/>
                  <w:sz w:val="6"/>
                  <w:szCs w:val="6"/>
                </w:rPr>
                <w:t>International Journal of Atharva, 1</w:t>
              </w:r>
              <w:r w:rsidRPr="00B5172F">
                <w:rPr>
                  <w:noProof/>
                  <w:color w:val="FFFFFF" w:themeColor="background1"/>
                  <w:sz w:val="6"/>
                  <w:szCs w:val="6"/>
                </w:rPr>
                <w:t>(1), 1-13. doi:https://doi.org/10.3126/ija.v1i1.58835</w:t>
              </w:r>
            </w:p>
            <w:p w:rsidR="00B5172F" w:rsidRPr="00B5172F" w:rsidRDefault="00B5172F" w:rsidP="00B5172F">
              <w:pPr>
                <w:pStyle w:val="Bibliography"/>
                <w:spacing w:after="0" w:line="240" w:lineRule="auto"/>
                <w:ind w:left="720" w:hanging="720"/>
                <w:rPr>
                  <w:noProof/>
                  <w:color w:val="FFFFFF" w:themeColor="background1"/>
                  <w:sz w:val="6"/>
                  <w:szCs w:val="6"/>
                </w:rPr>
              </w:pPr>
              <w:r w:rsidRPr="00B5172F">
                <w:rPr>
                  <w:noProof/>
                  <w:color w:val="FFFFFF" w:themeColor="background1"/>
                  <w:sz w:val="6"/>
                  <w:szCs w:val="6"/>
                </w:rPr>
                <w:t xml:space="preserve">Mahat, D., Neupane, D., &amp; Karki, T. B. (2023). Exploring the Academic Landscape: A Critical Analysis and Review of the Nepal Journal of Multidisciplinary Research. </w:t>
              </w:r>
              <w:r w:rsidRPr="00B5172F">
                <w:rPr>
                  <w:i/>
                  <w:iCs/>
                  <w:noProof/>
                  <w:color w:val="FFFFFF" w:themeColor="background1"/>
                  <w:sz w:val="6"/>
                  <w:szCs w:val="6"/>
                </w:rPr>
                <w:t>Nepal Journal of Multidisciplinary Research, 6</w:t>
              </w:r>
              <w:r w:rsidRPr="00B5172F">
                <w:rPr>
                  <w:noProof/>
                  <w:color w:val="FFFFFF" w:themeColor="background1"/>
                  <w:sz w:val="6"/>
                  <w:szCs w:val="6"/>
                </w:rPr>
                <w:t>(4), 128-138.</w:t>
              </w:r>
            </w:p>
            <w:p w:rsidR="00B5172F" w:rsidRPr="00B5172F" w:rsidRDefault="00B5172F" w:rsidP="00B5172F">
              <w:pPr>
                <w:pStyle w:val="Bibliography"/>
                <w:spacing w:after="0" w:line="240" w:lineRule="auto"/>
                <w:ind w:left="720" w:hanging="720"/>
                <w:rPr>
                  <w:noProof/>
                  <w:color w:val="FFFFFF" w:themeColor="background1"/>
                  <w:sz w:val="6"/>
                  <w:szCs w:val="6"/>
                </w:rPr>
              </w:pPr>
              <w:r w:rsidRPr="00B5172F">
                <w:rPr>
                  <w:noProof/>
                  <w:color w:val="FFFFFF" w:themeColor="background1"/>
                  <w:sz w:val="6"/>
                  <w:szCs w:val="6"/>
                </w:rPr>
                <w:t xml:space="preserve">Mahat, D., Neupane, D., &amp; Shrestha, S. (2024). Quantitative Research Design and Sample Trends: A Systematic Examination of Emerging Paradigms and Best Practices. </w:t>
              </w:r>
              <w:r w:rsidRPr="00B5172F">
                <w:rPr>
                  <w:i/>
                  <w:iCs/>
                  <w:noProof/>
                  <w:color w:val="FFFFFF" w:themeColor="background1"/>
                  <w:sz w:val="6"/>
                  <w:szCs w:val="6"/>
                </w:rPr>
                <w:t>Cognizance Journal of Multidisciplinary Studies, 4</w:t>
              </w:r>
              <w:r w:rsidRPr="00B5172F">
                <w:rPr>
                  <w:noProof/>
                  <w:color w:val="FFFFFF" w:themeColor="background1"/>
                  <w:sz w:val="6"/>
                  <w:szCs w:val="6"/>
                </w:rPr>
                <w:t>(2), 20-27. doi:10.47760/cognizance.2024.v04i02.002</w:t>
              </w:r>
            </w:p>
            <w:p w:rsidR="00B5172F" w:rsidRPr="00B5172F" w:rsidRDefault="00B5172F" w:rsidP="00B5172F">
              <w:pPr>
                <w:pStyle w:val="Bibliography"/>
                <w:spacing w:after="0" w:line="240" w:lineRule="auto"/>
                <w:ind w:left="720" w:hanging="720"/>
                <w:rPr>
                  <w:noProof/>
                  <w:color w:val="FFFFFF" w:themeColor="background1"/>
                  <w:sz w:val="6"/>
                  <w:szCs w:val="6"/>
                </w:rPr>
              </w:pPr>
              <w:r w:rsidRPr="00B5172F">
                <w:rPr>
                  <w:noProof/>
                  <w:color w:val="FFFFFF" w:themeColor="background1"/>
                  <w:sz w:val="6"/>
                  <w:szCs w:val="6"/>
                </w:rPr>
                <w:t xml:space="preserve">Neupane, D. (2014). Age and Peer Victimization among School Adolescents in Kathmandu, Nepal. </w:t>
              </w:r>
              <w:r w:rsidRPr="00B5172F">
                <w:rPr>
                  <w:i/>
                  <w:iCs/>
                  <w:noProof/>
                  <w:color w:val="FFFFFF" w:themeColor="background1"/>
                  <w:sz w:val="6"/>
                  <w:szCs w:val="6"/>
                </w:rPr>
                <w:t>Journal of Advanced Academic Research (JAAR), 1</w:t>
              </w:r>
              <w:r w:rsidRPr="00B5172F">
                <w:rPr>
                  <w:noProof/>
                  <w:color w:val="FFFFFF" w:themeColor="background1"/>
                  <w:sz w:val="6"/>
                  <w:szCs w:val="6"/>
                </w:rPr>
                <w:t>(1), 18-23.</w:t>
              </w:r>
            </w:p>
            <w:p w:rsidR="00B5172F" w:rsidRPr="00B5172F" w:rsidRDefault="00B5172F" w:rsidP="00B5172F">
              <w:pPr>
                <w:pStyle w:val="Bibliography"/>
                <w:spacing w:after="0" w:line="240" w:lineRule="auto"/>
                <w:ind w:left="720" w:hanging="720"/>
                <w:rPr>
                  <w:noProof/>
                  <w:color w:val="FFFFFF" w:themeColor="background1"/>
                  <w:sz w:val="6"/>
                  <w:szCs w:val="6"/>
                </w:rPr>
              </w:pPr>
              <w:r w:rsidRPr="00B5172F">
                <w:rPr>
                  <w:noProof/>
                  <w:color w:val="FFFFFF" w:themeColor="background1"/>
                  <w:sz w:val="6"/>
                  <w:szCs w:val="6"/>
                </w:rPr>
                <w:t xml:space="preserve">Neupane, D. (2014). Gender Role in School Bullying. </w:t>
              </w:r>
              <w:r w:rsidRPr="00B5172F">
                <w:rPr>
                  <w:i/>
                  <w:iCs/>
                  <w:noProof/>
                  <w:color w:val="FFFFFF" w:themeColor="background1"/>
                  <w:sz w:val="6"/>
                  <w:szCs w:val="6"/>
                </w:rPr>
                <w:t>Journal of Chitwan Medical College, 4</w:t>
              </w:r>
              <w:r w:rsidRPr="00B5172F">
                <w:rPr>
                  <w:noProof/>
                  <w:color w:val="FFFFFF" w:themeColor="background1"/>
                  <w:sz w:val="6"/>
                  <w:szCs w:val="6"/>
                </w:rPr>
                <w:t>(7), 37-41. Retrieved from https://www.cmc.edu.np/images/gallery/Original%20Articles/oGfWOoriginal7.pdf</w:t>
              </w:r>
            </w:p>
            <w:p w:rsidR="00B5172F" w:rsidRPr="00B5172F" w:rsidRDefault="00B5172F" w:rsidP="00B5172F">
              <w:pPr>
                <w:pStyle w:val="Bibliography"/>
                <w:spacing w:after="0" w:line="240" w:lineRule="auto"/>
                <w:ind w:left="720" w:hanging="720"/>
                <w:rPr>
                  <w:noProof/>
                  <w:color w:val="FFFFFF" w:themeColor="background1"/>
                  <w:sz w:val="6"/>
                  <w:szCs w:val="6"/>
                </w:rPr>
              </w:pPr>
              <w:r w:rsidRPr="00B5172F">
                <w:rPr>
                  <w:noProof/>
                  <w:color w:val="FFFFFF" w:themeColor="background1"/>
                  <w:sz w:val="6"/>
                  <w:szCs w:val="6"/>
                </w:rPr>
                <w:t xml:space="preserve">Neupane, D. (2018). Food Choice Motives of Guardians of Trilok Academy Kathmandu with reference to Gender. </w:t>
              </w:r>
              <w:r w:rsidRPr="00B5172F">
                <w:rPr>
                  <w:i/>
                  <w:iCs/>
                  <w:noProof/>
                  <w:color w:val="FFFFFF" w:themeColor="background1"/>
                  <w:sz w:val="6"/>
                  <w:szCs w:val="6"/>
                </w:rPr>
                <w:t>Nepal Journal of Multidisciplinary Research (NJMR), 1</w:t>
              </w:r>
              <w:r w:rsidRPr="00B5172F">
                <w:rPr>
                  <w:noProof/>
                  <w:color w:val="FFFFFF" w:themeColor="background1"/>
                  <w:sz w:val="6"/>
                  <w:szCs w:val="6"/>
                </w:rPr>
                <w:t>(1), 73-81.</w:t>
              </w:r>
            </w:p>
            <w:p w:rsidR="00B5172F" w:rsidRPr="00B5172F" w:rsidRDefault="00B5172F" w:rsidP="00B5172F">
              <w:pPr>
                <w:pStyle w:val="Bibliography"/>
                <w:spacing w:after="0" w:line="240" w:lineRule="auto"/>
                <w:ind w:left="720" w:hanging="720"/>
                <w:rPr>
                  <w:noProof/>
                  <w:color w:val="FFFFFF" w:themeColor="background1"/>
                  <w:sz w:val="6"/>
                  <w:szCs w:val="6"/>
                </w:rPr>
              </w:pPr>
              <w:r w:rsidRPr="00B5172F">
                <w:rPr>
                  <w:noProof/>
                  <w:color w:val="FFFFFF" w:themeColor="background1"/>
                  <w:sz w:val="6"/>
                  <w:szCs w:val="6"/>
                </w:rPr>
                <w:t xml:space="preserve">Neupane, D. (2019). Food choice motives of adults from Kathmandu city with reference to ethnicity. </w:t>
              </w:r>
              <w:r w:rsidRPr="00B5172F">
                <w:rPr>
                  <w:i/>
                  <w:iCs/>
                  <w:noProof/>
                  <w:color w:val="FFFFFF" w:themeColor="background1"/>
                  <w:sz w:val="6"/>
                  <w:szCs w:val="6"/>
                </w:rPr>
                <w:t>International Journal of Applied Research, 5</w:t>
              </w:r>
              <w:r w:rsidRPr="00B5172F">
                <w:rPr>
                  <w:noProof/>
                  <w:color w:val="FFFFFF" w:themeColor="background1"/>
                  <w:sz w:val="6"/>
                  <w:szCs w:val="6"/>
                </w:rPr>
                <w:t>(3), 182-185.</w:t>
              </w:r>
            </w:p>
            <w:p w:rsidR="00B5172F" w:rsidRPr="00B5172F" w:rsidRDefault="00B5172F" w:rsidP="00B5172F">
              <w:pPr>
                <w:pStyle w:val="Bibliography"/>
                <w:spacing w:after="0" w:line="240" w:lineRule="auto"/>
                <w:ind w:left="720" w:hanging="720"/>
                <w:rPr>
                  <w:noProof/>
                  <w:color w:val="FFFFFF" w:themeColor="background1"/>
                  <w:sz w:val="6"/>
                  <w:szCs w:val="6"/>
                </w:rPr>
              </w:pPr>
              <w:r w:rsidRPr="00B5172F">
                <w:rPr>
                  <w:noProof/>
                  <w:color w:val="FFFFFF" w:themeColor="background1"/>
                  <w:sz w:val="6"/>
                  <w:szCs w:val="6"/>
                </w:rPr>
                <w:t xml:space="preserve">Neupane, D., &amp; Subedi, C. K. (2018). Gender differences in learning style preferences of high school students. </w:t>
              </w:r>
              <w:r w:rsidRPr="00B5172F">
                <w:rPr>
                  <w:i/>
                  <w:iCs/>
                  <w:noProof/>
                  <w:color w:val="FFFFFF" w:themeColor="background1"/>
                  <w:sz w:val="6"/>
                  <w:szCs w:val="6"/>
                </w:rPr>
                <w:t>International Journal of Applied Research, 4</w:t>
              </w:r>
              <w:r w:rsidRPr="00B5172F">
                <w:rPr>
                  <w:noProof/>
                  <w:color w:val="FFFFFF" w:themeColor="background1"/>
                  <w:sz w:val="6"/>
                  <w:szCs w:val="6"/>
                </w:rPr>
                <w:t>(1), 215-221.</w:t>
              </w:r>
            </w:p>
            <w:p w:rsidR="00B5172F" w:rsidRPr="00B5172F" w:rsidRDefault="00B5172F" w:rsidP="00B5172F">
              <w:pPr>
                <w:pStyle w:val="Bibliography"/>
                <w:spacing w:after="0" w:line="240" w:lineRule="auto"/>
                <w:ind w:left="720" w:hanging="720"/>
                <w:rPr>
                  <w:noProof/>
                  <w:color w:val="FFFFFF" w:themeColor="background1"/>
                  <w:sz w:val="6"/>
                  <w:szCs w:val="6"/>
                </w:rPr>
              </w:pPr>
              <w:r w:rsidRPr="00B5172F">
                <w:rPr>
                  <w:noProof/>
                  <w:color w:val="FFFFFF" w:themeColor="background1"/>
                  <w:sz w:val="6"/>
                  <w:szCs w:val="6"/>
                </w:rPr>
                <w:t xml:space="preserve">Neupane, D., Panta, S., &amp; Bhattarai, P. (2023). Preferred Learning Techniques among Bachelor’s Level Students. </w:t>
              </w:r>
              <w:r w:rsidRPr="00B5172F">
                <w:rPr>
                  <w:i/>
                  <w:iCs/>
                  <w:noProof/>
                  <w:color w:val="FFFFFF" w:themeColor="background1"/>
                  <w:sz w:val="6"/>
                  <w:szCs w:val="6"/>
                </w:rPr>
                <w:t>Nepal Journal of Multidisciplinary Research (NJMR), 6</w:t>
              </w:r>
              <w:r w:rsidRPr="00B5172F">
                <w:rPr>
                  <w:noProof/>
                  <w:color w:val="FFFFFF" w:themeColor="background1"/>
                  <w:sz w:val="6"/>
                  <w:szCs w:val="6"/>
                </w:rPr>
                <w:t>(2), 145-154. doi:https://doi.org/10.3126/njmr.v6i2.57660</w:t>
              </w:r>
            </w:p>
            <w:p w:rsidR="00B5172F" w:rsidRPr="00B5172F" w:rsidRDefault="00B5172F" w:rsidP="00B5172F">
              <w:pPr>
                <w:pStyle w:val="Bibliography"/>
                <w:spacing w:after="0" w:line="240" w:lineRule="auto"/>
                <w:ind w:left="720" w:hanging="720"/>
                <w:rPr>
                  <w:noProof/>
                  <w:color w:val="FFFFFF" w:themeColor="background1"/>
                  <w:sz w:val="6"/>
                  <w:szCs w:val="6"/>
                </w:rPr>
              </w:pPr>
              <w:r w:rsidRPr="00B5172F">
                <w:rPr>
                  <w:noProof/>
                  <w:color w:val="FFFFFF" w:themeColor="background1"/>
                  <w:sz w:val="6"/>
                  <w:szCs w:val="6"/>
                </w:rPr>
                <w:t xml:space="preserve">Shrestha, R., &amp; Timalsena, C. (2023). Perceived External CSR from Employees’ Perspective in Nepalese Banking Industry. </w:t>
              </w:r>
              <w:r w:rsidRPr="00B5172F">
                <w:rPr>
                  <w:i/>
                  <w:iCs/>
                  <w:noProof/>
                  <w:color w:val="FFFFFF" w:themeColor="background1"/>
                  <w:sz w:val="6"/>
                  <w:szCs w:val="6"/>
                </w:rPr>
                <w:t>Nepal Journal of Multidisciplinary Research (NJMR), 6</w:t>
              </w:r>
              <w:r w:rsidRPr="00B5172F">
                <w:rPr>
                  <w:noProof/>
                  <w:color w:val="FFFFFF" w:themeColor="background1"/>
                  <w:sz w:val="6"/>
                  <w:szCs w:val="6"/>
                </w:rPr>
                <w:t>(3), 145-155. doi:https://doi.org/10.3126/njmr.v6i3.59718</w:t>
              </w:r>
            </w:p>
            <w:p w:rsidR="00B5172F" w:rsidRPr="00B5172F" w:rsidRDefault="00B5172F" w:rsidP="00B5172F">
              <w:pPr>
                <w:spacing w:after="0" w:line="240" w:lineRule="auto"/>
                <w:rPr>
                  <w:color w:val="FFFFFF" w:themeColor="background1"/>
                </w:rPr>
              </w:pPr>
              <w:r w:rsidRPr="00B5172F">
                <w:rPr>
                  <w:b/>
                  <w:bCs/>
                  <w:noProof/>
                  <w:color w:val="FFFFFF" w:themeColor="background1"/>
                  <w:sz w:val="6"/>
                  <w:szCs w:val="6"/>
                </w:rPr>
                <w:fldChar w:fldCharType="end"/>
              </w:r>
            </w:p>
          </w:sdtContent>
        </w:sdt>
      </w:sdtContent>
    </w:sdt>
    <w:p w:rsidR="00B5172F" w:rsidRPr="00E54F95" w:rsidRDefault="00B5172F" w:rsidP="00343034">
      <w:pPr>
        <w:spacing w:after="0"/>
        <w:ind w:left="720" w:hanging="720"/>
        <w:jc w:val="both"/>
        <w:rPr>
          <w:rFonts w:ascii="Times New Roman" w:eastAsia="Times New Roman" w:hAnsi="Times New Roman"/>
          <w:szCs w:val="24"/>
        </w:rPr>
      </w:pPr>
    </w:p>
    <w:sectPr w:rsidR="00B5172F" w:rsidRPr="00E54F95" w:rsidSect="00941C96">
      <w:headerReference w:type="default" r:id="rId18"/>
      <w:footerReference w:type="default" r:id="rId19"/>
      <w:pgSz w:w="11909" w:h="16834" w:code="9"/>
      <w:pgMar w:top="1440" w:right="1440" w:bottom="1440" w:left="1440" w:header="720" w:footer="720" w:gutter="0"/>
      <w:pgNumType w:start="13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08E" w:rsidRDefault="0005708E" w:rsidP="006C7E43">
      <w:pPr>
        <w:spacing w:after="0" w:line="240" w:lineRule="auto"/>
      </w:pPr>
      <w:r>
        <w:separator/>
      </w:r>
    </w:p>
  </w:endnote>
  <w:endnote w:type="continuationSeparator" w:id="0">
    <w:p w:rsidR="0005708E" w:rsidRDefault="0005708E" w:rsidP="006C7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angal">
    <w:altName w:val="Courier New"/>
    <w:panose1 w:val="00000400000000000000"/>
    <w:charset w:val="01"/>
    <w:family w:val="auto"/>
    <w:pitch w:val="variable"/>
    <w:sig w:usb0="00008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6437866"/>
      <w:docPartObj>
        <w:docPartGallery w:val="Page Numbers (Bottom of Page)"/>
        <w:docPartUnique/>
      </w:docPartObj>
    </w:sdtPr>
    <w:sdtEndPr>
      <w:rPr>
        <w:rFonts w:ascii="Times New Roman" w:hAnsi="Times New Roman"/>
        <w:noProof/>
        <w:sz w:val="24"/>
        <w:szCs w:val="24"/>
      </w:rPr>
    </w:sdtEndPr>
    <w:sdtContent>
      <w:p w:rsidR="00B5172F" w:rsidRPr="00B5172F" w:rsidRDefault="00B5172F">
        <w:pPr>
          <w:pStyle w:val="Footer"/>
          <w:jc w:val="center"/>
          <w:rPr>
            <w:rFonts w:ascii="Times New Roman" w:hAnsi="Times New Roman"/>
            <w:sz w:val="24"/>
            <w:szCs w:val="24"/>
          </w:rPr>
        </w:pPr>
        <w:r w:rsidRPr="00B5172F">
          <w:rPr>
            <w:rFonts w:ascii="Times New Roman" w:hAnsi="Times New Roman"/>
            <w:sz w:val="24"/>
            <w:szCs w:val="24"/>
          </w:rPr>
          <w:fldChar w:fldCharType="begin"/>
        </w:r>
        <w:r w:rsidRPr="00B5172F">
          <w:rPr>
            <w:rFonts w:ascii="Times New Roman" w:hAnsi="Times New Roman"/>
            <w:sz w:val="24"/>
            <w:szCs w:val="24"/>
          </w:rPr>
          <w:instrText xml:space="preserve"> PAGE   \* MERGEFORMAT </w:instrText>
        </w:r>
        <w:r w:rsidRPr="00B5172F">
          <w:rPr>
            <w:rFonts w:ascii="Times New Roman" w:hAnsi="Times New Roman"/>
            <w:sz w:val="24"/>
            <w:szCs w:val="24"/>
          </w:rPr>
          <w:fldChar w:fldCharType="separate"/>
        </w:r>
        <w:r w:rsidR="0005708E">
          <w:rPr>
            <w:rFonts w:ascii="Times New Roman" w:hAnsi="Times New Roman"/>
            <w:noProof/>
            <w:sz w:val="24"/>
            <w:szCs w:val="24"/>
          </w:rPr>
          <w:t>139</w:t>
        </w:r>
        <w:r w:rsidRPr="00B5172F">
          <w:rPr>
            <w:rFonts w:ascii="Times New Roman" w:hAnsi="Times New Roman"/>
            <w:noProof/>
            <w:sz w:val="24"/>
            <w:szCs w:val="24"/>
          </w:rPr>
          <w:fldChar w:fldCharType="end"/>
        </w:r>
      </w:p>
    </w:sdtContent>
  </w:sdt>
  <w:p w:rsidR="00B5172F" w:rsidRDefault="00B51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08E" w:rsidRDefault="0005708E" w:rsidP="006C7E43">
      <w:pPr>
        <w:spacing w:after="0" w:line="240" w:lineRule="auto"/>
      </w:pPr>
      <w:r>
        <w:separator/>
      </w:r>
    </w:p>
  </w:footnote>
  <w:footnote w:type="continuationSeparator" w:id="0">
    <w:p w:rsidR="0005708E" w:rsidRDefault="0005708E" w:rsidP="006C7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E43" w:rsidRPr="006C7E43" w:rsidRDefault="006C7E43" w:rsidP="006C7E43">
    <w:pPr>
      <w:pStyle w:val="Header"/>
      <w:spacing w:after="0"/>
      <w:jc w:val="center"/>
      <w:rPr>
        <w:rFonts w:ascii="Times New Roman" w:hAnsi="Times New Roman"/>
        <w:b/>
        <w:bCs/>
        <w:sz w:val="32"/>
        <w:szCs w:val="32"/>
      </w:rPr>
    </w:pPr>
    <w:r w:rsidRPr="006C7E43">
      <w:rPr>
        <w:rFonts w:ascii="Times New Roman" w:hAnsi="Times New Roman"/>
        <w:b/>
        <w:bCs/>
        <w:sz w:val="32"/>
        <w:szCs w:val="32"/>
      </w:rPr>
      <w:t>International Journal of Atharva (IJA)</w:t>
    </w:r>
  </w:p>
  <w:p w:rsidR="006C7E43" w:rsidRPr="006C7E43" w:rsidRDefault="006C7E43" w:rsidP="006C7E43">
    <w:pPr>
      <w:pStyle w:val="Header"/>
      <w:spacing w:after="0"/>
      <w:jc w:val="center"/>
      <w:rPr>
        <w:rFonts w:ascii="Times New Roman" w:hAnsi="Times New Roman"/>
        <w:b/>
        <w:bCs/>
        <w:sz w:val="28"/>
        <w:szCs w:val="32"/>
      </w:rPr>
    </w:pPr>
    <w:r w:rsidRPr="006C7E43">
      <w:rPr>
        <w:rFonts w:ascii="Times New Roman" w:hAnsi="Times New Roman"/>
        <w:b/>
        <w:bCs/>
        <w:sz w:val="28"/>
        <w:szCs w:val="32"/>
      </w:rPr>
      <w:t xml:space="preserve">Vol. 2, No. 1, February 2024         Pages: </w:t>
    </w:r>
    <w:r w:rsidR="00941C96">
      <w:rPr>
        <w:rFonts w:ascii="Times New Roman" w:hAnsi="Times New Roman"/>
        <w:b/>
        <w:bCs/>
        <w:sz w:val="28"/>
        <w:szCs w:val="32"/>
      </w:rPr>
      <w:t>1</w:t>
    </w:r>
    <w:r w:rsidRPr="006C7E43">
      <w:rPr>
        <w:rFonts w:ascii="Times New Roman" w:hAnsi="Times New Roman"/>
        <w:b/>
        <w:bCs/>
        <w:sz w:val="28"/>
        <w:szCs w:val="32"/>
      </w:rPr>
      <w:t>3</w:t>
    </w:r>
    <w:r w:rsidR="00941C96">
      <w:rPr>
        <w:rFonts w:ascii="Times New Roman" w:hAnsi="Times New Roman"/>
        <w:b/>
        <w:bCs/>
        <w:sz w:val="28"/>
        <w:szCs w:val="32"/>
      </w:rPr>
      <w:t>9</w:t>
    </w:r>
    <w:r w:rsidRPr="006C7E43">
      <w:rPr>
        <w:rFonts w:ascii="Times New Roman" w:hAnsi="Times New Roman"/>
        <w:b/>
        <w:bCs/>
        <w:sz w:val="28"/>
        <w:szCs w:val="32"/>
      </w:rPr>
      <w:t>-</w:t>
    </w:r>
    <w:r w:rsidR="00941C96">
      <w:rPr>
        <w:rFonts w:ascii="Times New Roman" w:hAnsi="Times New Roman"/>
        <w:b/>
        <w:bCs/>
        <w:sz w:val="28"/>
        <w:szCs w:val="32"/>
      </w:rPr>
      <w:t>151</w:t>
    </w:r>
  </w:p>
  <w:p w:rsidR="006C7E43" w:rsidRPr="006C7E43" w:rsidRDefault="006C7E43" w:rsidP="006C7E43">
    <w:pPr>
      <w:pStyle w:val="Header"/>
      <w:spacing w:after="0"/>
      <w:jc w:val="center"/>
      <w:rPr>
        <w:rFonts w:ascii="Times New Roman" w:hAnsi="Times New Roman"/>
        <w:b/>
        <w:bCs/>
        <w:sz w:val="28"/>
        <w:szCs w:val="32"/>
      </w:rPr>
    </w:pPr>
    <w:r w:rsidRPr="006C7E43">
      <w:rPr>
        <w:rFonts w:ascii="Times New Roman" w:hAnsi="Times New Roman"/>
        <w:b/>
        <w:bCs/>
        <w:sz w:val="28"/>
        <w:szCs w:val="32"/>
      </w:rPr>
      <w:t>ISSN: 3021-9205 (Print)       ISSN:3021-9299 (Online)</w:t>
    </w:r>
  </w:p>
  <w:p w:rsidR="006C7E43" w:rsidRPr="006C7E43" w:rsidRDefault="006C7E43" w:rsidP="006C7E43">
    <w:pPr>
      <w:pStyle w:val="Header"/>
      <w:spacing w:after="0"/>
      <w:jc w:val="center"/>
      <w:rPr>
        <w:rStyle w:val="Hyperlink"/>
        <w:rFonts w:ascii="Times New Roman" w:hAnsi="Times New Roman"/>
        <w:b/>
        <w:bCs/>
        <w:sz w:val="28"/>
        <w:szCs w:val="28"/>
      </w:rPr>
    </w:pPr>
    <w:r w:rsidRPr="006C7E43">
      <w:rPr>
        <w:rFonts w:ascii="Times New Roman" w:hAnsi="Times New Roman"/>
        <w:b/>
        <w:bCs/>
        <w:sz w:val="28"/>
        <w:szCs w:val="28"/>
      </w:rPr>
      <w:t>DOI:</w:t>
    </w:r>
    <w:r w:rsidRPr="006C7E43">
      <w:rPr>
        <w:rFonts w:ascii="Times New Roman" w:hAnsi="Times New Roman"/>
        <w:b/>
        <w:bCs/>
        <w:color w:val="0070C0"/>
        <w:sz w:val="28"/>
        <w:szCs w:val="28"/>
      </w:rPr>
      <w:t xml:space="preserve"> </w:t>
    </w:r>
    <w:r w:rsidRPr="006C7E43">
      <w:rPr>
        <w:rFonts w:ascii="Times New Roman" w:hAnsi="Times New Roman"/>
        <w:b/>
        <w:bCs/>
        <w:color w:val="0070C0"/>
        <w:sz w:val="32"/>
        <w:szCs w:val="32"/>
      </w:rPr>
      <w:t xml:space="preserve"> </w:t>
    </w:r>
    <w:r w:rsidRPr="006C7E43">
      <w:rPr>
        <w:rStyle w:val="Hyperlink"/>
        <w:rFonts w:ascii="Times New Roman" w:hAnsi="Times New Roman"/>
        <w:b/>
        <w:bCs/>
        <w:color w:val="FFFFFF" w:themeColor="background1"/>
        <w:sz w:val="28"/>
        <w:szCs w:val="28"/>
        <w:shd w:val="clear" w:color="auto" w:fill="FFFFFF"/>
      </w:rPr>
      <w:t>https://doi.org/10.3126/ija.v2i1.62821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11B3"/>
    <w:multiLevelType w:val="multilevel"/>
    <w:tmpl w:val="7416F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5C1006"/>
    <w:multiLevelType w:val="multilevel"/>
    <w:tmpl w:val="DF82329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6A24F5"/>
    <w:multiLevelType w:val="multilevel"/>
    <w:tmpl w:val="A43073EE"/>
    <w:lvl w:ilvl="0">
      <w:start w:val="1"/>
      <w:numFmt w:val="bullet"/>
      <w:lvlText w:val=""/>
      <w:lvlJc w:val="left"/>
      <w:pPr>
        <w:tabs>
          <w:tab w:val="num" w:pos="720"/>
        </w:tabs>
        <w:ind w:left="720" w:hanging="360"/>
      </w:pPr>
      <w:rPr>
        <w:rFonts w:ascii="Wingdings" w:hAnsi="Wingdings" w:hint="default"/>
        <w:sz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CC27CA"/>
    <w:multiLevelType w:val="hybridMultilevel"/>
    <w:tmpl w:val="52CCE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12318E"/>
    <w:multiLevelType w:val="multilevel"/>
    <w:tmpl w:val="B49423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8C08A8"/>
    <w:multiLevelType w:val="multilevel"/>
    <w:tmpl w:val="84F65A8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895DD2"/>
    <w:multiLevelType w:val="hybridMultilevel"/>
    <w:tmpl w:val="1902C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DD353B"/>
    <w:multiLevelType w:val="multilevel"/>
    <w:tmpl w:val="C6E00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F05A72"/>
    <w:multiLevelType w:val="hybridMultilevel"/>
    <w:tmpl w:val="0A0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FF5B2A"/>
    <w:multiLevelType w:val="multilevel"/>
    <w:tmpl w:val="2C60E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936D66"/>
    <w:multiLevelType w:val="multilevel"/>
    <w:tmpl w:val="75CC86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4"/>
  </w:num>
  <w:num w:numId="3">
    <w:abstractNumId w:val="10"/>
  </w:num>
  <w:num w:numId="4">
    <w:abstractNumId w:val="7"/>
  </w:num>
  <w:num w:numId="5">
    <w:abstractNumId w:val="1"/>
  </w:num>
  <w:num w:numId="6">
    <w:abstractNumId w:val="3"/>
  </w:num>
  <w:num w:numId="7">
    <w:abstractNumId w:val="9"/>
  </w:num>
  <w:num w:numId="8">
    <w:abstractNumId w:val="6"/>
  </w:num>
  <w:num w:numId="9">
    <w:abstractNumId w:val="0"/>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B01"/>
    <w:rsid w:val="00014951"/>
    <w:rsid w:val="00031FE8"/>
    <w:rsid w:val="00043C5F"/>
    <w:rsid w:val="00056BB6"/>
    <w:rsid w:val="0005708E"/>
    <w:rsid w:val="00063C10"/>
    <w:rsid w:val="000720A0"/>
    <w:rsid w:val="00084291"/>
    <w:rsid w:val="00093F74"/>
    <w:rsid w:val="000A229C"/>
    <w:rsid w:val="000D5968"/>
    <w:rsid w:val="000E3ACD"/>
    <w:rsid w:val="001024DD"/>
    <w:rsid w:val="001038F2"/>
    <w:rsid w:val="00111F2C"/>
    <w:rsid w:val="001152EF"/>
    <w:rsid w:val="00115F9F"/>
    <w:rsid w:val="00140501"/>
    <w:rsid w:val="00143F0D"/>
    <w:rsid w:val="00153689"/>
    <w:rsid w:val="0017022B"/>
    <w:rsid w:val="00171917"/>
    <w:rsid w:val="00174F85"/>
    <w:rsid w:val="001761AE"/>
    <w:rsid w:val="001869C8"/>
    <w:rsid w:val="00196DDC"/>
    <w:rsid w:val="001B4098"/>
    <w:rsid w:val="001C15C0"/>
    <w:rsid w:val="001C46EA"/>
    <w:rsid w:val="001D31A4"/>
    <w:rsid w:val="001E648F"/>
    <w:rsid w:val="00201E82"/>
    <w:rsid w:val="00205B99"/>
    <w:rsid w:val="00221C1A"/>
    <w:rsid w:val="00236880"/>
    <w:rsid w:val="00240C09"/>
    <w:rsid w:val="00241448"/>
    <w:rsid w:val="00247092"/>
    <w:rsid w:val="0024758A"/>
    <w:rsid w:val="00263450"/>
    <w:rsid w:val="002714E1"/>
    <w:rsid w:val="00274727"/>
    <w:rsid w:val="00293D2B"/>
    <w:rsid w:val="002A1316"/>
    <w:rsid w:val="002A39E3"/>
    <w:rsid w:val="002B03A1"/>
    <w:rsid w:val="002B5C39"/>
    <w:rsid w:val="002C192F"/>
    <w:rsid w:val="002C5D28"/>
    <w:rsid w:val="002D1046"/>
    <w:rsid w:val="002F452B"/>
    <w:rsid w:val="00343034"/>
    <w:rsid w:val="00343B56"/>
    <w:rsid w:val="00375599"/>
    <w:rsid w:val="00385984"/>
    <w:rsid w:val="00392FB1"/>
    <w:rsid w:val="003B577D"/>
    <w:rsid w:val="003C182A"/>
    <w:rsid w:val="003F24B1"/>
    <w:rsid w:val="003F7B7B"/>
    <w:rsid w:val="00406200"/>
    <w:rsid w:val="0042675C"/>
    <w:rsid w:val="00440951"/>
    <w:rsid w:val="00470357"/>
    <w:rsid w:val="004905C5"/>
    <w:rsid w:val="00496585"/>
    <w:rsid w:val="004A5A97"/>
    <w:rsid w:val="004D7EB3"/>
    <w:rsid w:val="004E5B01"/>
    <w:rsid w:val="004F01B1"/>
    <w:rsid w:val="00504C21"/>
    <w:rsid w:val="00544D0A"/>
    <w:rsid w:val="00565BB9"/>
    <w:rsid w:val="005700FC"/>
    <w:rsid w:val="0057355C"/>
    <w:rsid w:val="00585524"/>
    <w:rsid w:val="00594E0A"/>
    <w:rsid w:val="005A3356"/>
    <w:rsid w:val="005B1279"/>
    <w:rsid w:val="005C0E40"/>
    <w:rsid w:val="005E4974"/>
    <w:rsid w:val="005E6B59"/>
    <w:rsid w:val="00602DEB"/>
    <w:rsid w:val="00622D3D"/>
    <w:rsid w:val="00647FAF"/>
    <w:rsid w:val="0065185D"/>
    <w:rsid w:val="00665957"/>
    <w:rsid w:val="00680E84"/>
    <w:rsid w:val="006A4CCA"/>
    <w:rsid w:val="006C2A78"/>
    <w:rsid w:val="006C7E43"/>
    <w:rsid w:val="006D721D"/>
    <w:rsid w:val="006E280D"/>
    <w:rsid w:val="006E550B"/>
    <w:rsid w:val="007264DD"/>
    <w:rsid w:val="00753D58"/>
    <w:rsid w:val="0077730A"/>
    <w:rsid w:val="007842F1"/>
    <w:rsid w:val="007C2625"/>
    <w:rsid w:val="007C7C20"/>
    <w:rsid w:val="007D5E80"/>
    <w:rsid w:val="007F7153"/>
    <w:rsid w:val="00810042"/>
    <w:rsid w:val="008141D1"/>
    <w:rsid w:val="00821D8B"/>
    <w:rsid w:val="00824A4E"/>
    <w:rsid w:val="008379B6"/>
    <w:rsid w:val="00841C79"/>
    <w:rsid w:val="008451C9"/>
    <w:rsid w:val="00854793"/>
    <w:rsid w:val="00855ECF"/>
    <w:rsid w:val="00864251"/>
    <w:rsid w:val="00870D7A"/>
    <w:rsid w:val="00873125"/>
    <w:rsid w:val="0087474C"/>
    <w:rsid w:val="008945C7"/>
    <w:rsid w:val="00896F59"/>
    <w:rsid w:val="008A39C5"/>
    <w:rsid w:val="008C0267"/>
    <w:rsid w:val="008C7AB8"/>
    <w:rsid w:val="008E0BF5"/>
    <w:rsid w:val="008E4D87"/>
    <w:rsid w:val="008E79E3"/>
    <w:rsid w:val="0093237B"/>
    <w:rsid w:val="0093445A"/>
    <w:rsid w:val="00940521"/>
    <w:rsid w:val="00941C96"/>
    <w:rsid w:val="00946716"/>
    <w:rsid w:val="0097063A"/>
    <w:rsid w:val="00976FBF"/>
    <w:rsid w:val="009A6A00"/>
    <w:rsid w:val="009C4FF2"/>
    <w:rsid w:val="009C6348"/>
    <w:rsid w:val="009F1AC5"/>
    <w:rsid w:val="00A03AB0"/>
    <w:rsid w:val="00A34776"/>
    <w:rsid w:val="00A41F75"/>
    <w:rsid w:val="00A443B3"/>
    <w:rsid w:val="00A67BA0"/>
    <w:rsid w:val="00AD0557"/>
    <w:rsid w:val="00AE3C24"/>
    <w:rsid w:val="00AF52FC"/>
    <w:rsid w:val="00B02AF9"/>
    <w:rsid w:val="00B1266B"/>
    <w:rsid w:val="00B5172F"/>
    <w:rsid w:val="00B718B1"/>
    <w:rsid w:val="00B776FD"/>
    <w:rsid w:val="00B836A0"/>
    <w:rsid w:val="00B86C24"/>
    <w:rsid w:val="00B92126"/>
    <w:rsid w:val="00B92CF7"/>
    <w:rsid w:val="00BA296B"/>
    <w:rsid w:val="00BC5849"/>
    <w:rsid w:val="00BC732D"/>
    <w:rsid w:val="00BE3491"/>
    <w:rsid w:val="00BF0E22"/>
    <w:rsid w:val="00BF309F"/>
    <w:rsid w:val="00BF31E5"/>
    <w:rsid w:val="00C2740F"/>
    <w:rsid w:val="00C67706"/>
    <w:rsid w:val="00C73F68"/>
    <w:rsid w:val="00C927DC"/>
    <w:rsid w:val="00C932A5"/>
    <w:rsid w:val="00CA6196"/>
    <w:rsid w:val="00CC7068"/>
    <w:rsid w:val="00CD326F"/>
    <w:rsid w:val="00CE6FBA"/>
    <w:rsid w:val="00CF59E7"/>
    <w:rsid w:val="00D040CF"/>
    <w:rsid w:val="00D239F1"/>
    <w:rsid w:val="00D253C8"/>
    <w:rsid w:val="00D41F43"/>
    <w:rsid w:val="00D562F0"/>
    <w:rsid w:val="00D61F68"/>
    <w:rsid w:val="00DC55F4"/>
    <w:rsid w:val="00DD753C"/>
    <w:rsid w:val="00DE73DC"/>
    <w:rsid w:val="00E11053"/>
    <w:rsid w:val="00E147F8"/>
    <w:rsid w:val="00E21B95"/>
    <w:rsid w:val="00E427DB"/>
    <w:rsid w:val="00E54F95"/>
    <w:rsid w:val="00E815B3"/>
    <w:rsid w:val="00E85434"/>
    <w:rsid w:val="00EB31E4"/>
    <w:rsid w:val="00EC2653"/>
    <w:rsid w:val="00ED3C71"/>
    <w:rsid w:val="00ED41A8"/>
    <w:rsid w:val="00ED563F"/>
    <w:rsid w:val="00EE2061"/>
    <w:rsid w:val="00EF674A"/>
    <w:rsid w:val="00F02318"/>
    <w:rsid w:val="00F06665"/>
    <w:rsid w:val="00F14EEF"/>
    <w:rsid w:val="00F2352C"/>
    <w:rsid w:val="00F32328"/>
    <w:rsid w:val="00F60503"/>
    <w:rsid w:val="00F63B85"/>
    <w:rsid w:val="00F65CB3"/>
    <w:rsid w:val="00F73AEF"/>
    <w:rsid w:val="00F94158"/>
    <w:rsid w:val="00F95544"/>
    <w:rsid w:val="00FB468F"/>
    <w:rsid w:val="00FC6C48"/>
    <w:rsid w:val="00FD25E0"/>
    <w:rsid w:val="00FF3F4F"/>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A686B2"/>
  <w15:chartTrackingRefBased/>
  <w15:docId w15:val="{B2EEC2C6-4E6A-4ED0-929F-0CA28215F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ne-NP"/>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bidi="ar-SA"/>
    </w:rPr>
  </w:style>
  <w:style w:type="paragraph" w:styleId="Heading1">
    <w:name w:val="heading 1"/>
    <w:basedOn w:val="Normal"/>
    <w:link w:val="Heading1Char"/>
    <w:uiPriority w:val="9"/>
    <w:qFormat/>
    <w:rsid w:val="00AE3C24"/>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3">
    <w:name w:val="heading 3"/>
    <w:basedOn w:val="Normal"/>
    <w:next w:val="Normal"/>
    <w:link w:val="Heading3Char"/>
    <w:uiPriority w:val="9"/>
    <w:semiHidden/>
    <w:unhideWhenUsed/>
    <w:qFormat/>
    <w:rsid w:val="001E648F"/>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46EA"/>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AD05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F674A"/>
    <w:rPr>
      <w:b/>
      <w:bCs/>
    </w:rPr>
  </w:style>
  <w:style w:type="character" w:customStyle="1" w:styleId="authors">
    <w:name w:val="authors"/>
    <w:basedOn w:val="DefaultParagraphFont"/>
    <w:rsid w:val="00BF31E5"/>
  </w:style>
  <w:style w:type="character" w:styleId="Hyperlink">
    <w:name w:val="Hyperlink"/>
    <w:uiPriority w:val="99"/>
    <w:unhideWhenUsed/>
    <w:rsid w:val="00BF31E5"/>
    <w:rPr>
      <w:color w:val="0000FF"/>
      <w:u w:val="single"/>
    </w:rPr>
  </w:style>
  <w:style w:type="character" w:customStyle="1" w:styleId="Heading1Char">
    <w:name w:val="Heading 1 Char"/>
    <w:link w:val="Heading1"/>
    <w:uiPriority w:val="9"/>
    <w:rsid w:val="00AE3C24"/>
    <w:rPr>
      <w:rFonts w:ascii="Times New Roman" w:eastAsia="Times New Roman" w:hAnsi="Times New Roman" w:cs="Times New Roman"/>
      <w:b/>
      <w:bCs/>
      <w:kern w:val="36"/>
      <w:sz w:val="48"/>
      <w:szCs w:val="48"/>
    </w:rPr>
  </w:style>
  <w:style w:type="character" w:customStyle="1" w:styleId="Subtitle1">
    <w:name w:val="Subtitle1"/>
    <w:basedOn w:val="DefaultParagraphFont"/>
    <w:rsid w:val="00AE3C24"/>
  </w:style>
  <w:style w:type="character" w:styleId="Emphasis">
    <w:name w:val="Emphasis"/>
    <w:uiPriority w:val="20"/>
    <w:qFormat/>
    <w:rsid w:val="009C4FF2"/>
    <w:rPr>
      <w:i/>
      <w:iCs/>
    </w:rPr>
  </w:style>
  <w:style w:type="character" w:customStyle="1" w:styleId="Heading3Char">
    <w:name w:val="Heading 3 Char"/>
    <w:link w:val="Heading3"/>
    <w:uiPriority w:val="9"/>
    <w:rsid w:val="001E648F"/>
    <w:rPr>
      <w:rFonts w:ascii="Cambria" w:eastAsia="Times New Roman" w:hAnsi="Cambria" w:cs="Times New Roman"/>
      <w:b/>
      <w:bCs/>
      <w:color w:val="4F81BD"/>
    </w:rPr>
  </w:style>
  <w:style w:type="character" w:customStyle="1" w:styleId="wordwithsynonyms2z56d11">
    <w:name w:val="_wordwithsynonyms_2z56d_11"/>
    <w:rsid w:val="009C6348"/>
  </w:style>
  <w:style w:type="character" w:customStyle="1" w:styleId="text-with-replacments">
    <w:name w:val="text-with-replacments"/>
    <w:rsid w:val="001C15C0"/>
  </w:style>
  <w:style w:type="paragraph" w:styleId="HTMLPreformatted">
    <w:name w:val="HTML Preformatted"/>
    <w:basedOn w:val="Normal"/>
    <w:link w:val="HTMLPreformattedChar"/>
    <w:uiPriority w:val="99"/>
    <w:semiHidden/>
    <w:unhideWhenUsed/>
    <w:rsid w:val="00ED3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ED3C71"/>
    <w:rPr>
      <w:rFonts w:ascii="Courier New" w:eastAsia="Times New Roman" w:hAnsi="Courier New" w:cs="Courier New"/>
    </w:rPr>
  </w:style>
  <w:style w:type="character" w:customStyle="1" w:styleId="y2iqfc">
    <w:name w:val="y2iqfc"/>
    <w:rsid w:val="00ED3C71"/>
  </w:style>
  <w:style w:type="paragraph" w:styleId="Header">
    <w:name w:val="header"/>
    <w:basedOn w:val="Normal"/>
    <w:link w:val="HeaderChar"/>
    <w:uiPriority w:val="99"/>
    <w:unhideWhenUsed/>
    <w:rsid w:val="006C7E43"/>
    <w:pPr>
      <w:tabs>
        <w:tab w:val="center" w:pos="4680"/>
        <w:tab w:val="right" w:pos="9360"/>
      </w:tabs>
    </w:pPr>
  </w:style>
  <w:style w:type="character" w:customStyle="1" w:styleId="HeaderChar">
    <w:name w:val="Header Char"/>
    <w:basedOn w:val="DefaultParagraphFont"/>
    <w:link w:val="Header"/>
    <w:uiPriority w:val="99"/>
    <w:rsid w:val="006C7E43"/>
    <w:rPr>
      <w:sz w:val="22"/>
      <w:szCs w:val="22"/>
      <w:lang w:bidi="ar-SA"/>
    </w:rPr>
  </w:style>
  <w:style w:type="paragraph" w:styleId="Footer">
    <w:name w:val="footer"/>
    <w:basedOn w:val="Normal"/>
    <w:link w:val="FooterChar"/>
    <w:uiPriority w:val="99"/>
    <w:unhideWhenUsed/>
    <w:rsid w:val="006C7E43"/>
    <w:pPr>
      <w:tabs>
        <w:tab w:val="center" w:pos="4680"/>
        <w:tab w:val="right" w:pos="9360"/>
      </w:tabs>
    </w:pPr>
  </w:style>
  <w:style w:type="character" w:customStyle="1" w:styleId="FooterChar">
    <w:name w:val="Footer Char"/>
    <w:basedOn w:val="DefaultParagraphFont"/>
    <w:link w:val="Footer"/>
    <w:uiPriority w:val="99"/>
    <w:rsid w:val="006C7E43"/>
    <w:rPr>
      <w:sz w:val="22"/>
      <w:szCs w:val="22"/>
      <w:lang w:bidi="ar-SA"/>
    </w:rPr>
  </w:style>
  <w:style w:type="paragraph" w:styleId="Bibliography">
    <w:name w:val="Bibliography"/>
    <w:basedOn w:val="Normal"/>
    <w:next w:val="Normal"/>
    <w:uiPriority w:val="37"/>
    <w:unhideWhenUsed/>
    <w:rsid w:val="00B517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27494">
      <w:bodyDiv w:val="1"/>
      <w:marLeft w:val="0"/>
      <w:marRight w:val="0"/>
      <w:marTop w:val="0"/>
      <w:marBottom w:val="0"/>
      <w:divBdr>
        <w:top w:val="none" w:sz="0" w:space="0" w:color="auto"/>
        <w:left w:val="none" w:sz="0" w:space="0" w:color="auto"/>
        <w:bottom w:val="none" w:sz="0" w:space="0" w:color="auto"/>
        <w:right w:val="none" w:sz="0" w:space="0" w:color="auto"/>
      </w:divBdr>
    </w:div>
    <w:div w:id="117376889">
      <w:bodyDiv w:val="1"/>
      <w:marLeft w:val="0"/>
      <w:marRight w:val="0"/>
      <w:marTop w:val="0"/>
      <w:marBottom w:val="0"/>
      <w:divBdr>
        <w:top w:val="none" w:sz="0" w:space="0" w:color="auto"/>
        <w:left w:val="none" w:sz="0" w:space="0" w:color="auto"/>
        <w:bottom w:val="none" w:sz="0" w:space="0" w:color="auto"/>
        <w:right w:val="none" w:sz="0" w:space="0" w:color="auto"/>
      </w:divBdr>
    </w:div>
    <w:div w:id="187110906">
      <w:bodyDiv w:val="1"/>
      <w:marLeft w:val="0"/>
      <w:marRight w:val="0"/>
      <w:marTop w:val="0"/>
      <w:marBottom w:val="0"/>
      <w:divBdr>
        <w:top w:val="none" w:sz="0" w:space="0" w:color="auto"/>
        <w:left w:val="none" w:sz="0" w:space="0" w:color="auto"/>
        <w:bottom w:val="none" w:sz="0" w:space="0" w:color="auto"/>
        <w:right w:val="none" w:sz="0" w:space="0" w:color="auto"/>
      </w:divBdr>
    </w:div>
    <w:div w:id="212467884">
      <w:bodyDiv w:val="1"/>
      <w:marLeft w:val="0"/>
      <w:marRight w:val="0"/>
      <w:marTop w:val="0"/>
      <w:marBottom w:val="0"/>
      <w:divBdr>
        <w:top w:val="none" w:sz="0" w:space="0" w:color="auto"/>
        <w:left w:val="none" w:sz="0" w:space="0" w:color="auto"/>
        <w:bottom w:val="none" w:sz="0" w:space="0" w:color="auto"/>
        <w:right w:val="none" w:sz="0" w:space="0" w:color="auto"/>
      </w:divBdr>
    </w:div>
    <w:div w:id="247465442">
      <w:bodyDiv w:val="1"/>
      <w:marLeft w:val="0"/>
      <w:marRight w:val="0"/>
      <w:marTop w:val="0"/>
      <w:marBottom w:val="0"/>
      <w:divBdr>
        <w:top w:val="none" w:sz="0" w:space="0" w:color="auto"/>
        <w:left w:val="none" w:sz="0" w:space="0" w:color="auto"/>
        <w:bottom w:val="none" w:sz="0" w:space="0" w:color="auto"/>
        <w:right w:val="none" w:sz="0" w:space="0" w:color="auto"/>
      </w:divBdr>
      <w:divsChild>
        <w:div w:id="1132559042">
          <w:marLeft w:val="0"/>
          <w:marRight w:val="0"/>
          <w:marTop w:val="0"/>
          <w:marBottom w:val="0"/>
          <w:divBdr>
            <w:top w:val="none" w:sz="0" w:space="0" w:color="auto"/>
            <w:left w:val="none" w:sz="0" w:space="0" w:color="auto"/>
            <w:bottom w:val="none" w:sz="0" w:space="0" w:color="auto"/>
            <w:right w:val="none" w:sz="0" w:space="0" w:color="auto"/>
          </w:divBdr>
          <w:divsChild>
            <w:div w:id="1789274013">
              <w:marLeft w:val="0"/>
              <w:marRight w:val="0"/>
              <w:marTop w:val="0"/>
              <w:marBottom w:val="0"/>
              <w:divBdr>
                <w:top w:val="none" w:sz="0" w:space="0" w:color="auto"/>
                <w:left w:val="none" w:sz="0" w:space="0" w:color="auto"/>
                <w:bottom w:val="none" w:sz="0" w:space="0" w:color="auto"/>
                <w:right w:val="none" w:sz="0" w:space="0" w:color="auto"/>
              </w:divBdr>
              <w:divsChild>
                <w:div w:id="1038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518620">
      <w:bodyDiv w:val="1"/>
      <w:marLeft w:val="0"/>
      <w:marRight w:val="0"/>
      <w:marTop w:val="0"/>
      <w:marBottom w:val="0"/>
      <w:divBdr>
        <w:top w:val="none" w:sz="0" w:space="0" w:color="auto"/>
        <w:left w:val="none" w:sz="0" w:space="0" w:color="auto"/>
        <w:bottom w:val="none" w:sz="0" w:space="0" w:color="auto"/>
        <w:right w:val="none" w:sz="0" w:space="0" w:color="auto"/>
      </w:divBdr>
    </w:div>
    <w:div w:id="403374731">
      <w:bodyDiv w:val="1"/>
      <w:marLeft w:val="0"/>
      <w:marRight w:val="0"/>
      <w:marTop w:val="0"/>
      <w:marBottom w:val="0"/>
      <w:divBdr>
        <w:top w:val="none" w:sz="0" w:space="0" w:color="auto"/>
        <w:left w:val="none" w:sz="0" w:space="0" w:color="auto"/>
        <w:bottom w:val="none" w:sz="0" w:space="0" w:color="auto"/>
        <w:right w:val="none" w:sz="0" w:space="0" w:color="auto"/>
      </w:divBdr>
      <w:divsChild>
        <w:div w:id="283001464">
          <w:marLeft w:val="0"/>
          <w:marRight w:val="0"/>
          <w:marTop w:val="0"/>
          <w:marBottom w:val="0"/>
          <w:divBdr>
            <w:top w:val="none" w:sz="0" w:space="0" w:color="auto"/>
            <w:left w:val="none" w:sz="0" w:space="0" w:color="auto"/>
            <w:bottom w:val="none" w:sz="0" w:space="0" w:color="auto"/>
            <w:right w:val="none" w:sz="0" w:space="0" w:color="auto"/>
          </w:divBdr>
          <w:divsChild>
            <w:div w:id="1549493429">
              <w:marLeft w:val="0"/>
              <w:marRight w:val="0"/>
              <w:marTop w:val="0"/>
              <w:marBottom w:val="0"/>
              <w:divBdr>
                <w:top w:val="none" w:sz="0" w:space="0" w:color="auto"/>
                <w:left w:val="none" w:sz="0" w:space="0" w:color="auto"/>
                <w:bottom w:val="none" w:sz="0" w:space="0" w:color="auto"/>
                <w:right w:val="none" w:sz="0" w:space="0" w:color="auto"/>
              </w:divBdr>
              <w:divsChild>
                <w:div w:id="15938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478171">
      <w:bodyDiv w:val="1"/>
      <w:marLeft w:val="0"/>
      <w:marRight w:val="0"/>
      <w:marTop w:val="0"/>
      <w:marBottom w:val="0"/>
      <w:divBdr>
        <w:top w:val="none" w:sz="0" w:space="0" w:color="auto"/>
        <w:left w:val="none" w:sz="0" w:space="0" w:color="auto"/>
        <w:bottom w:val="none" w:sz="0" w:space="0" w:color="auto"/>
        <w:right w:val="none" w:sz="0" w:space="0" w:color="auto"/>
      </w:divBdr>
      <w:divsChild>
        <w:div w:id="1865243358">
          <w:marLeft w:val="0"/>
          <w:marRight w:val="0"/>
          <w:marTop w:val="0"/>
          <w:marBottom w:val="0"/>
          <w:divBdr>
            <w:top w:val="none" w:sz="0" w:space="0" w:color="auto"/>
            <w:left w:val="none" w:sz="0" w:space="0" w:color="auto"/>
            <w:bottom w:val="none" w:sz="0" w:space="0" w:color="auto"/>
            <w:right w:val="none" w:sz="0" w:space="0" w:color="auto"/>
          </w:divBdr>
          <w:divsChild>
            <w:div w:id="1013143821">
              <w:marLeft w:val="0"/>
              <w:marRight w:val="0"/>
              <w:marTop w:val="0"/>
              <w:marBottom w:val="0"/>
              <w:divBdr>
                <w:top w:val="none" w:sz="0" w:space="0" w:color="auto"/>
                <w:left w:val="none" w:sz="0" w:space="0" w:color="auto"/>
                <w:bottom w:val="none" w:sz="0" w:space="0" w:color="auto"/>
                <w:right w:val="none" w:sz="0" w:space="0" w:color="auto"/>
              </w:divBdr>
              <w:divsChild>
                <w:div w:id="83272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614336">
      <w:bodyDiv w:val="1"/>
      <w:marLeft w:val="0"/>
      <w:marRight w:val="0"/>
      <w:marTop w:val="0"/>
      <w:marBottom w:val="0"/>
      <w:divBdr>
        <w:top w:val="none" w:sz="0" w:space="0" w:color="auto"/>
        <w:left w:val="none" w:sz="0" w:space="0" w:color="auto"/>
        <w:bottom w:val="none" w:sz="0" w:space="0" w:color="auto"/>
        <w:right w:val="none" w:sz="0" w:space="0" w:color="auto"/>
      </w:divBdr>
      <w:divsChild>
        <w:div w:id="1769963113">
          <w:marLeft w:val="0"/>
          <w:marRight w:val="0"/>
          <w:marTop w:val="0"/>
          <w:marBottom w:val="0"/>
          <w:divBdr>
            <w:top w:val="none" w:sz="0" w:space="0" w:color="auto"/>
            <w:left w:val="none" w:sz="0" w:space="0" w:color="auto"/>
            <w:bottom w:val="none" w:sz="0" w:space="0" w:color="auto"/>
            <w:right w:val="none" w:sz="0" w:space="0" w:color="auto"/>
          </w:divBdr>
          <w:divsChild>
            <w:div w:id="798914164">
              <w:marLeft w:val="0"/>
              <w:marRight w:val="0"/>
              <w:marTop w:val="0"/>
              <w:marBottom w:val="0"/>
              <w:divBdr>
                <w:top w:val="none" w:sz="0" w:space="0" w:color="auto"/>
                <w:left w:val="none" w:sz="0" w:space="0" w:color="auto"/>
                <w:bottom w:val="none" w:sz="0" w:space="0" w:color="auto"/>
                <w:right w:val="none" w:sz="0" w:space="0" w:color="auto"/>
              </w:divBdr>
              <w:divsChild>
                <w:div w:id="77058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300063">
      <w:bodyDiv w:val="1"/>
      <w:marLeft w:val="0"/>
      <w:marRight w:val="0"/>
      <w:marTop w:val="0"/>
      <w:marBottom w:val="0"/>
      <w:divBdr>
        <w:top w:val="none" w:sz="0" w:space="0" w:color="auto"/>
        <w:left w:val="none" w:sz="0" w:space="0" w:color="auto"/>
        <w:bottom w:val="none" w:sz="0" w:space="0" w:color="auto"/>
        <w:right w:val="none" w:sz="0" w:space="0" w:color="auto"/>
      </w:divBdr>
    </w:div>
    <w:div w:id="957297563">
      <w:bodyDiv w:val="1"/>
      <w:marLeft w:val="0"/>
      <w:marRight w:val="0"/>
      <w:marTop w:val="0"/>
      <w:marBottom w:val="0"/>
      <w:divBdr>
        <w:top w:val="none" w:sz="0" w:space="0" w:color="auto"/>
        <w:left w:val="none" w:sz="0" w:space="0" w:color="auto"/>
        <w:bottom w:val="none" w:sz="0" w:space="0" w:color="auto"/>
        <w:right w:val="none" w:sz="0" w:space="0" w:color="auto"/>
      </w:divBdr>
      <w:divsChild>
        <w:div w:id="1643846759">
          <w:marLeft w:val="0"/>
          <w:marRight w:val="0"/>
          <w:marTop w:val="0"/>
          <w:marBottom w:val="0"/>
          <w:divBdr>
            <w:top w:val="none" w:sz="0" w:space="0" w:color="auto"/>
            <w:left w:val="none" w:sz="0" w:space="0" w:color="auto"/>
            <w:bottom w:val="none" w:sz="0" w:space="0" w:color="auto"/>
            <w:right w:val="none" w:sz="0" w:space="0" w:color="auto"/>
          </w:divBdr>
          <w:divsChild>
            <w:div w:id="2048948081">
              <w:marLeft w:val="0"/>
              <w:marRight w:val="0"/>
              <w:marTop w:val="0"/>
              <w:marBottom w:val="0"/>
              <w:divBdr>
                <w:top w:val="none" w:sz="0" w:space="0" w:color="auto"/>
                <w:left w:val="none" w:sz="0" w:space="0" w:color="auto"/>
                <w:bottom w:val="none" w:sz="0" w:space="0" w:color="auto"/>
                <w:right w:val="none" w:sz="0" w:space="0" w:color="auto"/>
              </w:divBdr>
              <w:divsChild>
                <w:div w:id="123235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05958">
      <w:bodyDiv w:val="1"/>
      <w:marLeft w:val="0"/>
      <w:marRight w:val="0"/>
      <w:marTop w:val="0"/>
      <w:marBottom w:val="0"/>
      <w:divBdr>
        <w:top w:val="none" w:sz="0" w:space="0" w:color="auto"/>
        <w:left w:val="none" w:sz="0" w:space="0" w:color="auto"/>
        <w:bottom w:val="none" w:sz="0" w:space="0" w:color="auto"/>
        <w:right w:val="none" w:sz="0" w:space="0" w:color="auto"/>
      </w:divBdr>
    </w:div>
    <w:div w:id="1116752123">
      <w:bodyDiv w:val="1"/>
      <w:marLeft w:val="0"/>
      <w:marRight w:val="0"/>
      <w:marTop w:val="0"/>
      <w:marBottom w:val="0"/>
      <w:divBdr>
        <w:top w:val="none" w:sz="0" w:space="0" w:color="auto"/>
        <w:left w:val="none" w:sz="0" w:space="0" w:color="auto"/>
        <w:bottom w:val="none" w:sz="0" w:space="0" w:color="auto"/>
        <w:right w:val="none" w:sz="0" w:space="0" w:color="auto"/>
      </w:divBdr>
    </w:div>
    <w:div w:id="1209798109">
      <w:bodyDiv w:val="1"/>
      <w:marLeft w:val="0"/>
      <w:marRight w:val="0"/>
      <w:marTop w:val="0"/>
      <w:marBottom w:val="0"/>
      <w:divBdr>
        <w:top w:val="none" w:sz="0" w:space="0" w:color="auto"/>
        <w:left w:val="none" w:sz="0" w:space="0" w:color="auto"/>
        <w:bottom w:val="none" w:sz="0" w:space="0" w:color="auto"/>
        <w:right w:val="none" w:sz="0" w:space="0" w:color="auto"/>
      </w:divBdr>
      <w:divsChild>
        <w:div w:id="1678849146">
          <w:marLeft w:val="0"/>
          <w:marRight w:val="0"/>
          <w:marTop w:val="0"/>
          <w:marBottom w:val="0"/>
          <w:divBdr>
            <w:top w:val="none" w:sz="0" w:space="0" w:color="auto"/>
            <w:left w:val="none" w:sz="0" w:space="0" w:color="auto"/>
            <w:bottom w:val="none" w:sz="0" w:space="0" w:color="auto"/>
            <w:right w:val="none" w:sz="0" w:space="0" w:color="auto"/>
          </w:divBdr>
          <w:divsChild>
            <w:div w:id="75133909">
              <w:marLeft w:val="0"/>
              <w:marRight w:val="0"/>
              <w:marTop w:val="0"/>
              <w:marBottom w:val="0"/>
              <w:divBdr>
                <w:top w:val="none" w:sz="0" w:space="0" w:color="auto"/>
                <w:left w:val="none" w:sz="0" w:space="0" w:color="auto"/>
                <w:bottom w:val="none" w:sz="0" w:space="0" w:color="auto"/>
                <w:right w:val="none" w:sz="0" w:space="0" w:color="auto"/>
              </w:divBdr>
              <w:divsChild>
                <w:div w:id="175427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020">
      <w:bodyDiv w:val="1"/>
      <w:marLeft w:val="0"/>
      <w:marRight w:val="0"/>
      <w:marTop w:val="0"/>
      <w:marBottom w:val="0"/>
      <w:divBdr>
        <w:top w:val="none" w:sz="0" w:space="0" w:color="auto"/>
        <w:left w:val="none" w:sz="0" w:space="0" w:color="auto"/>
        <w:bottom w:val="none" w:sz="0" w:space="0" w:color="auto"/>
        <w:right w:val="none" w:sz="0" w:space="0" w:color="auto"/>
      </w:divBdr>
      <w:divsChild>
        <w:div w:id="1503082255">
          <w:marLeft w:val="0"/>
          <w:marRight w:val="0"/>
          <w:marTop w:val="0"/>
          <w:marBottom w:val="0"/>
          <w:divBdr>
            <w:top w:val="none" w:sz="0" w:space="0" w:color="auto"/>
            <w:left w:val="none" w:sz="0" w:space="0" w:color="auto"/>
            <w:bottom w:val="none" w:sz="0" w:space="0" w:color="auto"/>
            <w:right w:val="none" w:sz="0" w:space="0" w:color="auto"/>
          </w:divBdr>
          <w:divsChild>
            <w:div w:id="2028214316">
              <w:marLeft w:val="0"/>
              <w:marRight w:val="0"/>
              <w:marTop w:val="0"/>
              <w:marBottom w:val="0"/>
              <w:divBdr>
                <w:top w:val="none" w:sz="0" w:space="0" w:color="auto"/>
                <w:left w:val="none" w:sz="0" w:space="0" w:color="auto"/>
                <w:bottom w:val="none" w:sz="0" w:space="0" w:color="auto"/>
                <w:right w:val="none" w:sz="0" w:space="0" w:color="auto"/>
              </w:divBdr>
              <w:divsChild>
                <w:div w:id="48517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18520">
      <w:bodyDiv w:val="1"/>
      <w:marLeft w:val="0"/>
      <w:marRight w:val="0"/>
      <w:marTop w:val="0"/>
      <w:marBottom w:val="0"/>
      <w:divBdr>
        <w:top w:val="none" w:sz="0" w:space="0" w:color="auto"/>
        <w:left w:val="none" w:sz="0" w:space="0" w:color="auto"/>
        <w:bottom w:val="none" w:sz="0" w:space="0" w:color="auto"/>
        <w:right w:val="none" w:sz="0" w:space="0" w:color="auto"/>
      </w:divBdr>
    </w:div>
    <w:div w:id="1510563167">
      <w:bodyDiv w:val="1"/>
      <w:marLeft w:val="0"/>
      <w:marRight w:val="0"/>
      <w:marTop w:val="0"/>
      <w:marBottom w:val="0"/>
      <w:divBdr>
        <w:top w:val="none" w:sz="0" w:space="0" w:color="auto"/>
        <w:left w:val="none" w:sz="0" w:space="0" w:color="auto"/>
        <w:bottom w:val="none" w:sz="0" w:space="0" w:color="auto"/>
        <w:right w:val="none" w:sz="0" w:space="0" w:color="auto"/>
      </w:divBdr>
      <w:divsChild>
        <w:div w:id="590892080">
          <w:marLeft w:val="0"/>
          <w:marRight w:val="0"/>
          <w:marTop w:val="0"/>
          <w:marBottom w:val="0"/>
          <w:divBdr>
            <w:top w:val="none" w:sz="0" w:space="0" w:color="auto"/>
            <w:left w:val="none" w:sz="0" w:space="0" w:color="auto"/>
            <w:bottom w:val="none" w:sz="0" w:space="0" w:color="auto"/>
            <w:right w:val="none" w:sz="0" w:space="0" w:color="auto"/>
          </w:divBdr>
          <w:divsChild>
            <w:div w:id="1112243196">
              <w:marLeft w:val="0"/>
              <w:marRight w:val="0"/>
              <w:marTop w:val="0"/>
              <w:marBottom w:val="0"/>
              <w:divBdr>
                <w:top w:val="none" w:sz="0" w:space="0" w:color="auto"/>
                <w:left w:val="none" w:sz="0" w:space="0" w:color="auto"/>
                <w:bottom w:val="none" w:sz="0" w:space="0" w:color="auto"/>
                <w:right w:val="none" w:sz="0" w:space="0" w:color="auto"/>
              </w:divBdr>
              <w:divsChild>
                <w:div w:id="17177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824141">
      <w:bodyDiv w:val="1"/>
      <w:marLeft w:val="0"/>
      <w:marRight w:val="0"/>
      <w:marTop w:val="0"/>
      <w:marBottom w:val="0"/>
      <w:divBdr>
        <w:top w:val="none" w:sz="0" w:space="0" w:color="auto"/>
        <w:left w:val="none" w:sz="0" w:space="0" w:color="auto"/>
        <w:bottom w:val="none" w:sz="0" w:space="0" w:color="auto"/>
        <w:right w:val="none" w:sz="0" w:space="0" w:color="auto"/>
      </w:divBdr>
      <w:divsChild>
        <w:div w:id="1388724321">
          <w:marLeft w:val="0"/>
          <w:marRight w:val="0"/>
          <w:marTop w:val="0"/>
          <w:marBottom w:val="0"/>
          <w:divBdr>
            <w:top w:val="none" w:sz="0" w:space="0" w:color="auto"/>
            <w:left w:val="none" w:sz="0" w:space="0" w:color="auto"/>
            <w:bottom w:val="none" w:sz="0" w:space="0" w:color="auto"/>
            <w:right w:val="none" w:sz="0" w:space="0" w:color="auto"/>
          </w:divBdr>
          <w:divsChild>
            <w:div w:id="332951565">
              <w:marLeft w:val="0"/>
              <w:marRight w:val="0"/>
              <w:marTop w:val="0"/>
              <w:marBottom w:val="0"/>
              <w:divBdr>
                <w:top w:val="none" w:sz="0" w:space="0" w:color="auto"/>
                <w:left w:val="none" w:sz="0" w:space="0" w:color="auto"/>
                <w:bottom w:val="none" w:sz="0" w:space="0" w:color="auto"/>
                <w:right w:val="none" w:sz="0" w:space="0" w:color="auto"/>
              </w:divBdr>
              <w:divsChild>
                <w:div w:id="5382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90195">
      <w:bodyDiv w:val="1"/>
      <w:marLeft w:val="0"/>
      <w:marRight w:val="0"/>
      <w:marTop w:val="0"/>
      <w:marBottom w:val="0"/>
      <w:divBdr>
        <w:top w:val="none" w:sz="0" w:space="0" w:color="auto"/>
        <w:left w:val="none" w:sz="0" w:space="0" w:color="auto"/>
        <w:bottom w:val="none" w:sz="0" w:space="0" w:color="auto"/>
        <w:right w:val="none" w:sz="0" w:space="0" w:color="auto"/>
      </w:divBdr>
      <w:divsChild>
        <w:div w:id="1353146537">
          <w:marLeft w:val="0"/>
          <w:marRight w:val="0"/>
          <w:marTop w:val="0"/>
          <w:marBottom w:val="0"/>
          <w:divBdr>
            <w:top w:val="none" w:sz="0" w:space="0" w:color="auto"/>
            <w:left w:val="none" w:sz="0" w:space="0" w:color="auto"/>
            <w:bottom w:val="none" w:sz="0" w:space="0" w:color="auto"/>
            <w:right w:val="none" w:sz="0" w:space="0" w:color="auto"/>
          </w:divBdr>
        </w:div>
      </w:divsChild>
    </w:div>
    <w:div w:id="1666713080">
      <w:bodyDiv w:val="1"/>
      <w:marLeft w:val="0"/>
      <w:marRight w:val="0"/>
      <w:marTop w:val="0"/>
      <w:marBottom w:val="0"/>
      <w:divBdr>
        <w:top w:val="none" w:sz="0" w:space="0" w:color="auto"/>
        <w:left w:val="none" w:sz="0" w:space="0" w:color="auto"/>
        <w:bottom w:val="none" w:sz="0" w:space="0" w:color="auto"/>
        <w:right w:val="none" w:sz="0" w:space="0" w:color="auto"/>
      </w:divBdr>
      <w:divsChild>
        <w:div w:id="1773086885">
          <w:marLeft w:val="0"/>
          <w:marRight w:val="0"/>
          <w:marTop w:val="0"/>
          <w:marBottom w:val="0"/>
          <w:divBdr>
            <w:top w:val="none" w:sz="0" w:space="0" w:color="auto"/>
            <w:left w:val="none" w:sz="0" w:space="0" w:color="auto"/>
            <w:bottom w:val="none" w:sz="0" w:space="0" w:color="auto"/>
            <w:right w:val="none" w:sz="0" w:space="0" w:color="auto"/>
          </w:divBdr>
        </w:div>
      </w:divsChild>
    </w:div>
    <w:div w:id="1671981329">
      <w:bodyDiv w:val="1"/>
      <w:marLeft w:val="0"/>
      <w:marRight w:val="0"/>
      <w:marTop w:val="0"/>
      <w:marBottom w:val="0"/>
      <w:divBdr>
        <w:top w:val="none" w:sz="0" w:space="0" w:color="auto"/>
        <w:left w:val="none" w:sz="0" w:space="0" w:color="auto"/>
        <w:bottom w:val="none" w:sz="0" w:space="0" w:color="auto"/>
        <w:right w:val="none" w:sz="0" w:space="0" w:color="auto"/>
      </w:divBdr>
      <w:divsChild>
        <w:div w:id="1563368542">
          <w:marLeft w:val="0"/>
          <w:marRight w:val="0"/>
          <w:marTop w:val="0"/>
          <w:marBottom w:val="0"/>
          <w:divBdr>
            <w:top w:val="none" w:sz="0" w:space="0" w:color="auto"/>
            <w:left w:val="none" w:sz="0" w:space="0" w:color="auto"/>
            <w:bottom w:val="none" w:sz="0" w:space="0" w:color="auto"/>
            <w:right w:val="none" w:sz="0" w:space="0" w:color="auto"/>
          </w:divBdr>
          <w:divsChild>
            <w:div w:id="1740209633">
              <w:marLeft w:val="0"/>
              <w:marRight w:val="0"/>
              <w:marTop w:val="0"/>
              <w:marBottom w:val="0"/>
              <w:divBdr>
                <w:top w:val="none" w:sz="0" w:space="0" w:color="auto"/>
                <w:left w:val="none" w:sz="0" w:space="0" w:color="auto"/>
                <w:bottom w:val="none" w:sz="0" w:space="0" w:color="auto"/>
                <w:right w:val="none" w:sz="0" w:space="0" w:color="auto"/>
              </w:divBdr>
              <w:divsChild>
                <w:div w:id="39539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273139">
      <w:bodyDiv w:val="1"/>
      <w:marLeft w:val="0"/>
      <w:marRight w:val="0"/>
      <w:marTop w:val="0"/>
      <w:marBottom w:val="0"/>
      <w:divBdr>
        <w:top w:val="none" w:sz="0" w:space="0" w:color="auto"/>
        <w:left w:val="none" w:sz="0" w:space="0" w:color="auto"/>
        <w:bottom w:val="none" w:sz="0" w:space="0" w:color="auto"/>
        <w:right w:val="none" w:sz="0" w:space="0" w:color="auto"/>
      </w:divBdr>
    </w:div>
    <w:div w:id="1780024058">
      <w:bodyDiv w:val="1"/>
      <w:marLeft w:val="0"/>
      <w:marRight w:val="0"/>
      <w:marTop w:val="0"/>
      <w:marBottom w:val="0"/>
      <w:divBdr>
        <w:top w:val="none" w:sz="0" w:space="0" w:color="auto"/>
        <w:left w:val="none" w:sz="0" w:space="0" w:color="auto"/>
        <w:bottom w:val="none" w:sz="0" w:space="0" w:color="auto"/>
        <w:right w:val="none" w:sz="0" w:space="0" w:color="auto"/>
      </w:divBdr>
    </w:div>
    <w:div w:id="1892886555">
      <w:bodyDiv w:val="1"/>
      <w:marLeft w:val="0"/>
      <w:marRight w:val="0"/>
      <w:marTop w:val="0"/>
      <w:marBottom w:val="0"/>
      <w:divBdr>
        <w:top w:val="none" w:sz="0" w:space="0" w:color="auto"/>
        <w:left w:val="none" w:sz="0" w:space="0" w:color="auto"/>
        <w:bottom w:val="none" w:sz="0" w:space="0" w:color="auto"/>
        <w:right w:val="none" w:sz="0" w:space="0" w:color="auto"/>
      </w:divBdr>
      <w:divsChild>
        <w:div w:id="2002390717">
          <w:marLeft w:val="0"/>
          <w:marRight w:val="0"/>
          <w:marTop w:val="0"/>
          <w:marBottom w:val="0"/>
          <w:divBdr>
            <w:top w:val="none" w:sz="0" w:space="0" w:color="auto"/>
            <w:left w:val="none" w:sz="0" w:space="0" w:color="auto"/>
            <w:bottom w:val="none" w:sz="0" w:space="0" w:color="auto"/>
            <w:right w:val="none" w:sz="0" w:space="0" w:color="auto"/>
          </w:divBdr>
          <w:divsChild>
            <w:div w:id="145132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68818">
      <w:bodyDiv w:val="1"/>
      <w:marLeft w:val="0"/>
      <w:marRight w:val="0"/>
      <w:marTop w:val="0"/>
      <w:marBottom w:val="0"/>
      <w:divBdr>
        <w:top w:val="none" w:sz="0" w:space="0" w:color="auto"/>
        <w:left w:val="none" w:sz="0" w:space="0" w:color="auto"/>
        <w:bottom w:val="none" w:sz="0" w:space="0" w:color="auto"/>
        <w:right w:val="none" w:sz="0" w:space="0" w:color="auto"/>
      </w:divBdr>
      <w:divsChild>
        <w:div w:id="747119918">
          <w:marLeft w:val="0"/>
          <w:marRight w:val="0"/>
          <w:marTop w:val="0"/>
          <w:marBottom w:val="0"/>
          <w:divBdr>
            <w:top w:val="none" w:sz="0" w:space="0" w:color="auto"/>
            <w:left w:val="none" w:sz="0" w:space="0" w:color="auto"/>
            <w:bottom w:val="none" w:sz="0" w:space="0" w:color="auto"/>
            <w:right w:val="none" w:sz="0" w:space="0" w:color="auto"/>
          </w:divBdr>
          <w:divsChild>
            <w:div w:id="1311515181">
              <w:marLeft w:val="0"/>
              <w:marRight w:val="0"/>
              <w:marTop w:val="0"/>
              <w:marBottom w:val="0"/>
              <w:divBdr>
                <w:top w:val="none" w:sz="0" w:space="0" w:color="auto"/>
                <w:left w:val="none" w:sz="0" w:space="0" w:color="auto"/>
                <w:bottom w:val="none" w:sz="0" w:space="0" w:color="auto"/>
                <w:right w:val="none" w:sz="0" w:space="0" w:color="auto"/>
              </w:divBdr>
              <w:divsChild>
                <w:div w:id="3882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414761">
      <w:bodyDiv w:val="1"/>
      <w:marLeft w:val="0"/>
      <w:marRight w:val="0"/>
      <w:marTop w:val="0"/>
      <w:marBottom w:val="0"/>
      <w:divBdr>
        <w:top w:val="none" w:sz="0" w:space="0" w:color="auto"/>
        <w:left w:val="none" w:sz="0" w:space="0" w:color="auto"/>
        <w:bottom w:val="none" w:sz="0" w:space="0" w:color="auto"/>
        <w:right w:val="none" w:sz="0" w:space="0" w:color="auto"/>
      </w:divBdr>
      <w:divsChild>
        <w:div w:id="1975866300">
          <w:marLeft w:val="0"/>
          <w:marRight w:val="0"/>
          <w:marTop w:val="0"/>
          <w:marBottom w:val="0"/>
          <w:divBdr>
            <w:top w:val="none" w:sz="0" w:space="0" w:color="auto"/>
            <w:left w:val="none" w:sz="0" w:space="0" w:color="auto"/>
            <w:bottom w:val="none" w:sz="0" w:space="0" w:color="auto"/>
            <w:right w:val="none" w:sz="0" w:space="0" w:color="auto"/>
          </w:divBdr>
          <w:divsChild>
            <w:div w:id="1609310573">
              <w:marLeft w:val="0"/>
              <w:marRight w:val="0"/>
              <w:marTop w:val="0"/>
              <w:marBottom w:val="0"/>
              <w:divBdr>
                <w:top w:val="none" w:sz="0" w:space="0" w:color="auto"/>
                <w:left w:val="none" w:sz="0" w:space="0" w:color="auto"/>
                <w:bottom w:val="none" w:sz="0" w:space="0" w:color="auto"/>
                <w:right w:val="none" w:sz="0" w:space="0" w:color="auto"/>
              </w:divBdr>
              <w:divsChild>
                <w:div w:id="131937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neshworkafle@gmail.com" TargetMode="External"/><Relationship Id="rId13" Type="http://schemas.openxmlformats.org/officeDocument/2006/relationships/hyperlink" Target="https://journals.sagepub.com/doi/10.1177/2158244013503834"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reativecommons.org/licenses/by-nc/4.0/legalcode" TargetMode="External"/><Relationship Id="rId17" Type="http://schemas.openxmlformats.org/officeDocument/2006/relationships/hyperlink" Target="https://doi.org/10.17226/13035" TargetMode="External"/><Relationship Id="rId2" Type="http://schemas.openxmlformats.org/officeDocument/2006/relationships/numbering" Target="numbering.xml"/><Relationship Id="rId16" Type="http://schemas.openxmlformats.org/officeDocument/2006/relationships/hyperlink" Target="https://doi.org/10.1177/215824401350383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nc/4.0/legalcode" TargetMode="External"/><Relationship Id="rId5" Type="http://schemas.openxmlformats.org/officeDocument/2006/relationships/webSettings" Target="webSettings.xml"/><Relationship Id="rId15" Type="http://schemas.openxmlformats.org/officeDocument/2006/relationships/hyperlink" Target="http://www.baneshwormultiplecampus.edu.np"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rcid.org/0009-0000-2124-9196" TargetMode="External"/><Relationship Id="rId14" Type="http://schemas.openxmlformats.org/officeDocument/2006/relationships/hyperlink" Target="http://www.baneshwormultiplecampus.edu.n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Mah231</b:Tag>
    <b:SourceType>JournalArticle</b:SourceType>
    <b:Guid>{90D50AF4-994C-483E-A360-EF328F8781BA}</b:Guid>
    <b:Author>
      <b:Author>
        <b:NameList>
          <b:Person>
            <b:Last>Mahat</b:Last>
            <b:First>Dipak</b:First>
          </b:Person>
          <b:Person>
            <b:Last>Neupane</b:Last>
            <b:First>Dasarath</b:First>
          </b:Person>
          <b:Person>
            <b:Last>Karki</b:Last>
            <b:First>Tej</b:First>
            <b:Middle>Bahadur</b:Middle>
          </b:Person>
        </b:NameList>
      </b:Author>
    </b:Author>
    <b:Title>Exploring the Academic Landscape: A Critical Analysis and Review of the Nepal Journal of Multidisciplinary Research</b:Title>
    <b:JournalName>Nepal Journal of Multidisciplinary Research</b:JournalName>
    <b:Year>2023</b:Year>
    <b:Pages>128-138</b:Pages>
    <b:Volume>6</b:Volume>
    <b:Issue>4</b:Issue>
    <b:RefOrder>1</b:RefOrder>
  </b:Source>
  <b:Source>
    <b:Tag>Mah24</b:Tag>
    <b:SourceType>JournalArticle</b:SourceType>
    <b:Guid>{E3E54F3F-CA3A-43AA-AEA8-D7290687AB32}</b:Guid>
    <b:Author>
      <b:Author>
        <b:NameList>
          <b:Person>
            <b:Last>Mahat</b:Last>
            <b:First>Dipak</b:First>
          </b:Person>
          <b:Person>
            <b:Last>Neupane</b:Last>
            <b:First>Dasarath</b:First>
          </b:Person>
          <b:Person>
            <b:Last>Shrestha</b:Last>
            <b:First>Sajeeb</b:First>
          </b:Person>
        </b:NameList>
      </b:Author>
    </b:Author>
    <b:Title>Quantitative Research Design and Sample Trends: A Systematic Examination of Emerging Paradigms and Best Practices</b:Title>
    <b:JournalName>Cognizance Journal of Multidisciplinary Studies</b:JournalName>
    <b:Year>2024</b:Year>
    <b:Pages>20-27</b:Pages>
    <b:Volume>4</b:Volume>
    <b:Issue>2</b:Issue>
    <b:DOI>10.47760/cognizance.2024.v04i02.002</b:DOI>
    <b:RefOrder>2</b:RefOrder>
  </b:Source>
  <b:Source>
    <b:Tag>Lam231</b:Tag>
    <b:SourceType>JournalArticle</b:SourceType>
    <b:Guid>{18E9BA78-491D-4CC8-B5E8-17E8D70F9E9F}</b:Guid>
    <b:Author>
      <b:Author>
        <b:NameList>
          <b:Person>
            <b:Last>Lamichhane</b:Last>
            <b:First>Binita</b:First>
          </b:Person>
          <b:Person>
            <b:Last>Neupane</b:Last>
            <b:First>Dasarath</b:First>
          </b:Person>
        </b:NameList>
      </b:Author>
    </b:Author>
    <b:Title>Perceived Organizational Support in Nepalese Banks</b:Title>
    <b:JournalName>International Journal of Atharva</b:JournalName>
    <b:Year>2023</b:Year>
    <b:Pages>1-13</b:Pages>
    <b:Volume>1</b:Volume>
    <b:Issue>1</b:Issue>
    <b:DOI>https://doi.org/10.3126/ija.v1i1.58835</b:DOI>
    <b:RefOrder>3</b:RefOrder>
  </b:Source>
  <b:Source>
    <b:Tag>Neu186</b:Tag>
    <b:SourceType>JournalArticle</b:SourceType>
    <b:Guid>{61A51EDE-CF93-453A-B899-3BDEFF2BFE0D}</b:Guid>
    <b:Author>
      <b:Author>
        <b:NameList>
          <b:Person>
            <b:Last>Neupane</b:Last>
            <b:First>Dasarath</b:First>
          </b:Person>
          <b:Person>
            <b:Last>Subedi</b:Last>
            <b:First>Chandra</b:First>
            <b:Middle>Kala Dawadi</b:Middle>
          </b:Person>
        </b:NameList>
      </b:Author>
    </b:Author>
    <b:Title>Gender differences in learning style preferences of high school students</b:Title>
    <b:JournalName>International Journal of Applied Research</b:JournalName>
    <b:Year>2018</b:Year>
    <b:Pages>215-221</b:Pages>
    <b:Volume>4</b:Volume>
    <b:Issue>1</b:Issue>
    <b:RefOrder>4</b:RefOrder>
  </b:Source>
  <b:Source>
    <b:Tag>Neu193</b:Tag>
    <b:SourceType>JournalArticle</b:SourceType>
    <b:Guid>{22DA5BC0-411A-4D2D-A29F-3DF05CA94362}</b:Guid>
    <b:Author>
      <b:Author>
        <b:NameList>
          <b:Person>
            <b:Last>Neupane</b:Last>
            <b:First>Dasarath</b:First>
          </b:Person>
        </b:NameList>
      </b:Author>
    </b:Author>
    <b:Title>Food choice motives of adults from Kathmandu city with reference to ethnicity</b:Title>
    <b:JournalName>International Journal of Applied Research</b:JournalName>
    <b:Year>2019</b:Year>
    <b:Pages>182-185</b:Pages>
    <b:Volume>5</b:Volume>
    <b:Issue>3</b:Issue>
    <b:RefOrder>5</b:RefOrder>
  </b:Source>
  <b:Source>
    <b:Tag>Neu144</b:Tag>
    <b:SourceType>JournalArticle</b:SourceType>
    <b:Guid>{1A6BE3E7-EF76-45FB-8929-C17AB11A9AC8}</b:Guid>
    <b:Author>
      <b:Author>
        <b:NameList>
          <b:Person>
            <b:Last>Neupane</b:Last>
            <b:First>Dasarath</b:First>
          </b:Person>
        </b:NameList>
      </b:Author>
    </b:Author>
    <b:Title>Age and Peer Victimization among School Adolescents in Kathmandu, Nepal</b:Title>
    <b:JournalName>Journal of Advanced Academic Research (JAAR)</b:JournalName>
    <b:Year>2014</b:Year>
    <b:Pages>18-23</b:Pages>
    <b:Volume>1</b:Volume>
    <b:Issue>1</b:Issue>
    <b:RefOrder>6</b:RefOrder>
  </b:Source>
  <b:Source>
    <b:Tag>Neu187</b:Tag>
    <b:SourceType>JournalArticle</b:SourceType>
    <b:Guid>{7F5FDC9C-E570-4FA0-A400-4267129C5D7E}</b:Guid>
    <b:Author>
      <b:Author>
        <b:NameList>
          <b:Person>
            <b:Last>Neupane</b:Last>
            <b:First>Dasarath</b:First>
          </b:Person>
        </b:NameList>
      </b:Author>
    </b:Author>
    <b:Title>Food Choice Motives of Guardians of Trilok Academy Kathmandu with reference to Gender</b:Title>
    <b:JournalName>Nepal Journal of Multidisciplinary Research (NJMR)</b:JournalName>
    <b:Year>2018</b:Year>
    <b:Pages>73-81</b:Pages>
    <b:Volume>1</b:Volume>
    <b:Issue>1</b:Issue>
    <b:RefOrder>7</b:RefOrder>
  </b:Source>
  <b:Source>
    <b:Tag>Neu232</b:Tag>
    <b:SourceType>JournalArticle</b:SourceType>
    <b:Guid>{F392D162-8545-45C6-BD27-9325DEED7B19}</b:Guid>
    <b:Author>
      <b:Author>
        <b:NameList>
          <b:Person>
            <b:Last>Neupane</b:Last>
            <b:First>Dasarath</b:First>
          </b:Person>
          <b:Person>
            <b:Last>Panta</b:Last>
            <b:First>Sagar</b:First>
          </b:Person>
          <b:Person>
            <b:Last>Bhattarai</b:Last>
            <b:First>Parshuram</b:First>
          </b:Person>
        </b:NameList>
      </b:Author>
    </b:Author>
    <b:Title>Preferred Learning Techniques among Bachelor’s Level Students</b:Title>
    <b:JournalName>Nepal Journal of Multidisciplinary Research (NJMR)</b:JournalName>
    <b:Year>2023</b:Year>
    <b:Pages>145-154</b:Pages>
    <b:Volume>6</b:Volume>
    <b:Issue>2</b:Issue>
    <b:DOI>https://doi.org/10.3126/njmr.v6i2.57660</b:DOI>
    <b:RefOrder>8</b:RefOrder>
  </b:Source>
  <b:Source>
    <b:Tag>Dip18</b:Tag>
    <b:SourceType>JournalArticle</b:SourceType>
    <b:Guid>{9DD9AAEE-6F13-46A0-94BA-4A36A2B5C584}</b:Guid>
    <b:Title>An exploratory research on academic performance of school students with reference to religion</b:Title>
    <b:JournalName>International Journal of Applied Research</b:JournalName>
    <b:Year>2018</b:Year>
    <b:Pages>76-81</b:Pages>
    <b:Author>
      <b:Author>
        <b:NameList>
          <b:Person>
            <b:Last>Adhikari</b:Last>
            <b:First>Dip</b:First>
            <b:Middle>Bahadur</b:Middle>
          </b:Person>
          <b:Person>
            <b:Last>Ghimire</b:Last>
            <b:First>Mayanath</b:First>
          </b:Person>
          <b:Person>
            <b:Last>Neupane</b:Last>
            <b:First>Dasarath</b:First>
          </b:Person>
          <b:Person>
            <b:Last>Regmi</b:Last>
            <b:First>Ramesh</b:First>
            <b:Middle>Babu</b:Middle>
          </b:Person>
        </b:NameList>
      </b:Author>
    </b:Author>
    <b:Volume>4</b:Volume>
    <b:Issue>5</b:Issue>
    <b:RefOrder>9</b:RefOrder>
  </b:Source>
  <b:Source>
    <b:Tag>Ghi22</b:Tag>
    <b:SourceType>JournalArticle</b:SourceType>
    <b:Guid>{CDC5FE64-1466-476F-BEDC-6DEC743A70E0}</b:Guid>
    <b:Author>
      <b:Author>
        <b:NameList>
          <b:Person>
            <b:Last>Ghimire</b:Last>
            <b:First>Maya</b:First>
            <b:Middle>Nath</b:Middle>
          </b:Person>
          <b:Person>
            <b:Last>Neupane</b:Last>
            <b:First>Dasarath</b:First>
          </b:Person>
        </b:NameList>
      </b:Author>
    </b:Author>
    <b:Title>An Exploratory Study on Status of Homestays from Lamjung</b:Title>
    <b:JournalName>Nepal Journal of Multidisciplinary Research (NJMR)</b:JournalName>
    <b:Year>2022</b:Year>
    <b:Pages>119-126</b:Pages>
    <b:Volume>5</b:Volume>
    <b:Issue>5</b:Issue>
    <b:DOI>https://doi.org/10.3126/njmr.v5i5.51812</b:DOI>
    <b:RefOrder>10</b:RefOrder>
  </b:Source>
  <b:Source>
    <b:Tag>Adh18</b:Tag>
    <b:SourceType>JournalArticle</b:SourceType>
    <b:Guid>{40D410C5-028D-4D87-A517-E3AD72352E5D}</b:Guid>
    <b:Author>
      <b:Author>
        <b:NameList>
          <b:Person>
            <b:Last>Adhikari</b:Last>
            <b:First>Dip</b:First>
            <b:Middle>Bahadur</b:Middle>
          </b:Person>
          <b:Person>
            <b:Last>Ghimire</b:Last>
            <b:First>Maya</b:First>
            <b:Middle>Nath</b:Middle>
          </b:Person>
          <b:Person>
            <b:Last>Neupane</b:Last>
            <b:First>Dasarath</b:First>
          </b:Person>
          <b:Person>
            <b:Last>Dhakal</b:Last>
            <b:First>Rajendra</b:First>
            <b:Middle>Lal</b:Middle>
          </b:Person>
        </b:NameList>
      </b:Author>
    </b:Author>
    <b:Title>An explorative study of academic performance of school students with reference to Ethnicity</b:Title>
    <b:JournalName>International Journal of Applied Research</b:JournalName>
    <b:Year>2018</b:Year>
    <b:Pages>36-38</b:Pages>
    <b:Volume>4</b:Volume>
    <b:Issue>5</b:Issue>
    <b:RefOrder>11</b:RefOrder>
  </b:Source>
  <b:Source>
    <b:Tag>Shr23</b:Tag>
    <b:SourceType>JournalArticle</b:SourceType>
    <b:Guid>{833DBE8F-9498-4CA1-9609-9BC20A1205F4}</b:Guid>
    <b:Author>
      <b:Author>
        <b:NameList>
          <b:Person>
            <b:Last>Shrestha</b:Last>
            <b:First>Renuka</b:First>
          </b:Person>
          <b:Person>
            <b:Last>Timalsena</b:Last>
            <b:First>Chiranjibi</b:First>
          </b:Person>
        </b:NameList>
      </b:Author>
    </b:Author>
    <b:Title>Perceived External CSR from Employees’ Perspective in Nepalese Banking Industry</b:Title>
    <b:JournalName>Nepal Journal of Multidisciplinary Research (NJMR)</b:JournalName>
    <b:Year>2023</b:Year>
    <b:Pages>145-155</b:Pages>
    <b:Volume>6</b:Volume>
    <b:Issue>3</b:Issue>
    <b:DOI>https://doi.org/10.3126/njmr.v6i3.59718</b:DOI>
    <b:RefOrder>12</b:RefOrder>
  </b:Source>
  <b:Source>
    <b:Tag>Neu146</b:Tag>
    <b:SourceType>JournalArticle</b:SourceType>
    <b:Guid>{F94B8863-382C-403A-89EA-557D64C0C5E0}</b:Guid>
    <b:Author>
      <b:Author>
        <b:NameList>
          <b:Person>
            <b:Last>Neupane</b:Last>
            <b:First>Dasarath</b:First>
          </b:Person>
        </b:NameList>
      </b:Author>
    </b:Author>
    <b:Title>Gender Role in School Bullying</b:Title>
    <b:JournalName>Journal of Chitwan Medical College</b:JournalName>
    <b:Year>2014</b:Year>
    <b:Pages>37-41</b:Pages>
    <b:Volume>4</b:Volume>
    <b:Issue>7</b:Issue>
    <b:URL>https://www.cmc.edu.np/images/gallery/Original%20Articles/oGfWOoriginal7.pdf</b:URL>
    <b:RefOrder>13</b:RefOrder>
  </b:Source>
</b:Sources>
</file>

<file path=customXml/itemProps1.xml><?xml version="1.0" encoding="utf-8"?>
<ds:datastoreItem xmlns:ds="http://schemas.openxmlformats.org/officeDocument/2006/customXml" ds:itemID="{17DC9C64-2145-4D4B-A741-F49BA9FBD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4976</Words>
  <Characters>27179</Characters>
  <Application>Microsoft Office Word</Application>
  <DocSecurity>0</DocSecurity>
  <Lines>763</Lines>
  <Paragraphs>468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31747</CharactersWithSpaces>
  <SharedDoc>false</SharedDoc>
  <HLinks>
    <vt:vector size="54" baseType="variant">
      <vt:variant>
        <vt:i4>3932272</vt:i4>
      </vt:variant>
      <vt:variant>
        <vt:i4>24</vt:i4>
      </vt:variant>
      <vt:variant>
        <vt:i4>0</vt:i4>
      </vt:variant>
      <vt:variant>
        <vt:i4>5</vt:i4>
      </vt:variant>
      <vt:variant>
        <vt:lpwstr>https://doi.org/10.17226/13035</vt:lpwstr>
      </vt:variant>
      <vt:variant>
        <vt:lpwstr/>
      </vt:variant>
      <vt:variant>
        <vt:i4>1441881</vt:i4>
      </vt:variant>
      <vt:variant>
        <vt:i4>21</vt:i4>
      </vt:variant>
      <vt:variant>
        <vt:i4>0</vt:i4>
      </vt:variant>
      <vt:variant>
        <vt:i4>5</vt:i4>
      </vt:variant>
      <vt:variant>
        <vt:lpwstr>https://doi.org/10.1177/2158244013503834</vt:lpwstr>
      </vt:variant>
      <vt:variant>
        <vt:lpwstr/>
      </vt:variant>
      <vt:variant>
        <vt:i4>7733304</vt:i4>
      </vt:variant>
      <vt:variant>
        <vt:i4>18</vt:i4>
      </vt:variant>
      <vt:variant>
        <vt:i4>0</vt:i4>
      </vt:variant>
      <vt:variant>
        <vt:i4>5</vt:i4>
      </vt:variant>
      <vt:variant>
        <vt:lpwstr>http://www.baneshwormultiplecampus.edu.np/</vt:lpwstr>
      </vt:variant>
      <vt:variant>
        <vt:lpwstr/>
      </vt:variant>
      <vt:variant>
        <vt:i4>7733304</vt:i4>
      </vt:variant>
      <vt:variant>
        <vt:i4>15</vt:i4>
      </vt:variant>
      <vt:variant>
        <vt:i4>0</vt:i4>
      </vt:variant>
      <vt:variant>
        <vt:i4>5</vt:i4>
      </vt:variant>
      <vt:variant>
        <vt:lpwstr>http://www.baneshwormultiplecampus.edu.np/</vt:lpwstr>
      </vt:variant>
      <vt:variant>
        <vt:lpwstr/>
      </vt:variant>
      <vt:variant>
        <vt:i4>7733304</vt:i4>
      </vt:variant>
      <vt:variant>
        <vt:i4>12</vt:i4>
      </vt:variant>
      <vt:variant>
        <vt:i4>0</vt:i4>
      </vt:variant>
      <vt:variant>
        <vt:i4>5</vt:i4>
      </vt:variant>
      <vt:variant>
        <vt:lpwstr>http://www.baneshwormultiplecampus.edu.np/</vt:lpwstr>
      </vt:variant>
      <vt:variant>
        <vt:lpwstr/>
      </vt:variant>
      <vt:variant>
        <vt:i4>3014697</vt:i4>
      </vt:variant>
      <vt:variant>
        <vt:i4>9</vt:i4>
      </vt:variant>
      <vt:variant>
        <vt:i4>0</vt:i4>
      </vt:variant>
      <vt:variant>
        <vt:i4>5</vt:i4>
      </vt:variant>
      <vt:variant>
        <vt:lpwstr>https://journals.sagepub.com/doi/10.1177/2158244013503834</vt:lpwstr>
      </vt:variant>
      <vt:variant>
        <vt:lpwstr>bibr17-2158244013503834</vt:lpwstr>
      </vt:variant>
      <vt:variant>
        <vt:i4>5767247</vt:i4>
      </vt:variant>
      <vt:variant>
        <vt:i4>6</vt:i4>
      </vt:variant>
      <vt:variant>
        <vt:i4>0</vt:i4>
      </vt:variant>
      <vt:variant>
        <vt:i4>5</vt:i4>
      </vt:variant>
      <vt:variant>
        <vt:lpwstr>https://creativecommons.org/licenses/by-nc/4.0/legalcode</vt:lpwstr>
      </vt:variant>
      <vt:variant>
        <vt:lpwstr/>
      </vt:variant>
      <vt:variant>
        <vt:i4>5767247</vt:i4>
      </vt:variant>
      <vt:variant>
        <vt:i4>3</vt:i4>
      </vt:variant>
      <vt:variant>
        <vt:i4>0</vt:i4>
      </vt:variant>
      <vt:variant>
        <vt:i4>5</vt:i4>
      </vt:variant>
      <vt:variant>
        <vt:lpwstr>https://creativecommons.org/licenses/by-nc/4.0/legalcode</vt:lpwstr>
      </vt:variant>
      <vt:variant>
        <vt:lpwstr/>
      </vt:variant>
      <vt:variant>
        <vt:i4>1048616</vt:i4>
      </vt:variant>
      <vt:variant>
        <vt:i4>0</vt:i4>
      </vt:variant>
      <vt:variant>
        <vt:i4>0</vt:i4>
      </vt:variant>
      <vt:variant>
        <vt:i4>5</vt:i4>
      </vt:variant>
      <vt:variant>
        <vt:lpwstr>mailto:baneshworkafle@gmail.com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Asus</cp:lastModifiedBy>
  <cp:revision>7</cp:revision>
  <dcterms:created xsi:type="dcterms:W3CDTF">2024-02-21T06:27:00Z</dcterms:created>
  <dcterms:modified xsi:type="dcterms:W3CDTF">2024-03-09T16:05:00Z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cc263cfd9fd590dd43e449d02718e78a4eb2b3d45344e18e20a5ad2b1e8e7232</vt:lpwstr>
  </property>
</Properties>
</file>