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53" w:rsidRDefault="005D7ECE" w:rsidP="001105E0">
      <w:pPr>
        <w:jc w:val="center"/>
        <w:rPr>
          <w:rFonts w:ascii="Arial" w:hAnsi="Arial" w:cs="Arial"/>
          <w:b/>
          <w:u w:val="single"/>
        </w:rPr>
      </w:pPr>
      <w:r w:rsidRPr="002A789B">
        <w:rPr>
          <w:rFonts w:ascii="Arial" w:hAnsi="Arial" w:cs="Arial"/>
          <w:b/>
          <w:u w:val="single"/>
        </w:rPr>
        <w:t>RELATIONSHIP</w:t>
      </w:r>
      <w:r w:rsidR="00515A86" w:rsidRPr="002A789B">
        <w:rPr>
          <w:rFonts w:ascii="Arial" w:hAnsi="Arial" w:cs="Arial"/>
          <w:b/>
          <w:u w:val="single"/>
        </w:rPr>
        <w:t xml:space="preserve"> OF GLYCATED H</w:t>
      </w:r>
      <w:r w:rsidR="004D62EF">
        <w:rPr>
          <w:rFonts w:ascii="Arial" w:hAnsi="Arial" w:cs="Arial"/>
          <w:b/>
          <w:u w:val="single"/>
        </w:rPr>
        <w:t>A</w:t>
      </w:r>
      <w:r w:rsidR="00515A86" w:rsidRPr="002A789B">
        <w:rPr>
          <w:rFonts w:ascii="Arial" w:hAnsi="Arial" w:cs="Arial"/>
          <w:b/>
          <w:u w:val="single"/>
        </w:rPr>
        <w:t xml:space="preserve">EMOGLOBIN (HBA1C) AND GLUCOSE IN STREPTOZOTOCIN-INDUCED WISTAR RATS IS DETERMINED BY </w:t>
      </w:r>
    </w:p>
    <w:p w:rsidR="001105E0" w:rsidRDefault="00515A86" w:rsidP="001105E0">
      <w:pPr>
        <w:jc w:val="center"/>
        <w:rPr>
          <w:rFonts w:ascii="Arial" w:hAnsi="Arial" w:cs="Arial"/>
          <w:b/>
          <w:u w:val="single"/>
        </w:rPr>
      </w:pPr>
      <w:r w:rsidRPr="002A789B">
        <w:rPr>
          <w:rFonts w:ascii="Arial" w:hAnsi="Arial" w:cs="Arial"/>
          <w:b/>
          <w:u w:val="single"/>
        </w:rPr>
        <w:t xml:space="preserve">LINEAR REGRESSION </w:t>
      </w:r>
    </w:p>
    <w:p w:rsidR="00BB499C" w:rsidRDefault="00BB499C" w:rsidP="00BB499C">
      <w:pPr>
        <w:rPr>
          <w:rFonts w:ascii="Arial" w:hAnsi="Arial" w:cs="Arial"/>
          <w:b/>
          <w:u w:val="single"/>
        </w:rPr>
      </w:pPr>
    </w:p>
    <w:p w:rsidR="00C36053" w:rsidRDefault="00C36053" w:rsidP="00C36053">
      <w:pPr>
        <w:jc w:val="center"/>
        <w:rPr>
          <w:rFonts w:ascii="Arial" w:hAnsi="Arial" w:cs="Arial"/>
        </w:rPr>
      </w:pPr>
      <w:r w:rsidRPr="00C36053">
        <w:rPr>
          <w:rFonts w:ascii="Arial" w:hAnsi="Arial" w:cs="Arial"/>
          <w:vertAlign w:val="superscript"/>
        </w:rPr>
        <w:t>1</w:t>
      </w:r>
      <w:r>
        <w:rPr>
          <w:rFonts w:ascii="Arial" w:hAnsi="Arial" w:cs="Arial"/>
        </w:rPr>
        <w:t xml:space="preserve"> G.S. George,      </w:t>
      </w:r>
      <w:r w:rsidRPr="00C36053">
        <w:rPr>
          <w:rFonts w:ascii="Arial" w:hAnsi="Arial" w:cs="Arial"/>
          <w:vertAlign w:val="superscript"/>
        </w:rPr>
        <w:t>2</w:t>
      </w:r>
      <w:r>
        <w:rPr>
          <w:rFonts w:ascii="Arial" w:hAnsi="Arial" w:cs="Arial"/>
          <w:vertAlign w:val="superscript"/>
        </w:rPr>
        <w:t xml:space="preserve"> </w:t>
      </w:r>
      <w:r>
        <w:rPr>
          <w:rFonts w:ascii="Arial" w:hAnsi="Arial" w:cs="Arial"/>
        </w:rPr>
        <w:t xml:space="preserve">A.A.Uwakwe     </w:t>
      </w:r>
      <w:r w:rsidRPr="00C36053">
        <w:rPr>
          <w:rFonts w:ascii="Arial" w:hAnsi="Arial" w:cs="Arial"/>
          <w:vertAlign w:val="superscript"/>
        </w:rPr>
        <w:t>3</w:t>
      </w:r>
      <w:r>
        <w:rPr>
          <w:rFonts w:ascii="Arial" w:hAnsi="Arial" w:cs="Arial"/>
        </w:rPr>
        <w:t xml:space="preserve"> G.O. Ibeh</w:t>
      </w:r>
    </w:p>
    <w:p w:rsidR="00C36053" w:rsidRDefault="00C36053" w:rsidP="00C36053">
      <w:pPr>
        <w:rPr>
          <w:rFonts w:ascii="Arial" w:hAnsi="Arial" w:cs="Arial"/>
        </w:rPr>
      </w:pPr>
      <w:r w:rsidRPr="00C36053">
        <w:rPr>
          <w:rFonts w:ascii="Arial" w:hAnsi="Arial" w:cs="Arial"/>
          <w:vertAlign w:val="superscript"/>
        </w:rPr>
        <w:t>1</w:t>
      </w:r>
      <w:r>
        <w:rPr>
          <w:rFonts w:ascii="Arial" w:hAnsi="Arial" w:cs="Arial"/>
        </w:rPr>
        <w:t xml:space="preserve"> Department of Medical Biochemistry, Niger Delta University, Amassoma, Bayelsa </w:t>
      </w:r>
    </w:p>
    <w:p w:rsidR="00C36053" w:rsidRDefault="00C36053" w:rsidP="00C36053">
      <w:pPr>
        <w:rPr>
          <w:rFonts w:ascii="Arial" w:hAnsi="Arial" w:cs="Arial"/>
        </w:rPr>
      </w:pPr>
      <w:r>
        <w:rPr>
          <w:rFonts w:ascii="Arial" w:hAnsi="Arial" w:cs="Arial"/>
        </w:rPr>
        <w:t xml:space="preserve">  State, Nigeria</w:t>
      </w:r>
    </w:p>
    <w:p w:rsidR="00C36053" w:rsidRDefault="00C36053" w:rsidP="00C36053">
      <w:pPr>
        <w:rPr>
          <w:rFonts w:ascii="Arial" w:hAnsi="Arial" w:cs="Arial"/>
        </w:rPr>
      </w:pPr>
      <w:r w:rsidRPr="00C36053">
        <w:rPr>
          <w:rFonts w:ascii="Arial" w:hAnsi="Arial" w:cs="Arial"/>
          <w:vertAlign w:val="superscript"/>
        </w:rPr>
        <w:t>2</w:t>
      </w:r>
      <w:r>
        <w:rPr>
          <w:rFonts w:ascii="Arial" w:hAnsi="Arial" w:cs="Arial"/>
        </w:rPr>
        <w:t xml:space="preserve"> Department of Biochemistry, University of Port Harcourt, Nigeria.</w:t>
      </w:r>
    </w:p>
    <w:p w:rsidR="00C36053" w:rsidRPr="00C36053" w:rsidRDefault="00C36053" w:rsidP="00C36053">
      <w:pPr>
        <w:rPr>
          <w:rFonts w:ascii="Arial" w:hAnsi="Arial" w:cs="Arial"/>
        </w:rPr>
      </w:pPr>
      <w:r w:rsidRPr="00C36053">
        <w:rPr>
          <w:rFonts w:ascii="Arial" w:hAnsi="Arial" w:cs="Arial"/>
          <w:vertAlign w:val="superscript"/>
        </w:rPr>
        <w:t>3</w:t>
      </w:r>
      <w:r>
        <w:rPr>
          <w:rFonts w:ascii="Arial" w:hAnsi="Arial" w:cs="Arial"/>
        </w:rPr>
        <w:t xml:space="preserve"> Department of Biochemistry, University of Port Harcourt, Nigeria.</w:t>
      </w:r>
    </w:p>
    <w:p w:rsidR="009922F5" w:rsidRPr="002A789B" w:rsidRDefault="009922F5" w:rsidP="009922F5">
      <w:pPr>
        <w:rPr>
          <w:rFonts w:ascii="Arial" w:hAnsi="Arial" w:cs="Arial"/>
          <w:b/>
          <w:u w:val="single"/>
        </w:rPr>
      </w:pPr>
    </w:p>
    <w:p w:rsidR="008A336B" w:rsidRDefault="008A336B">
      <w:pPr>
        <w:rPr>
          <w:rFonts w:ascii="Arial" w:hAnsi="Arial" w:cs="Arial"/>
          <w:b/>
          <w:u w:val="single"/>
        </w:rPr>
      </w:pPr>
      <w:r>
        <w:rPr>
          <w:rFonts w:ascii="Arial" w:hAnsi="Arial" w:cs="Arial"/>
          <w:b/>
          <w:u w:val="single"/>
        </w:rPr>
        <w:br w:type="page"/>
      </w:r>
    </w:p>
    <w:p w:rsidR="009922F5" w:rsidRPr="002A789B" w:rsidRDefault="00CD3BDC" w:rsidP="009922F5">
      <w:pPr>
        <w:rPr>
          <w:rFonts w:ascii="Arial" w:hAnsi="Arial" w:cs="Arial"/>
          <w:b/>
          <w:u w:val="single"/>
        </w:rPr>
      </w:pPr>
      <w:r w:rsidRPr="002A789B">
        <w:rPr>
          <w:rFonts w:ascii="Arial" w:hAnsi="Arial" w:cs="Arial"/>
          <w:b/>
          <w:u w:val="single"/>
        </w:rPr>
        <w:lastRenderedPageBreak/>
        <w:t>OBJECTIVE</w:t>
      </w:r>
    </w:p>
    <w:p w:rsidR="00A87C13" w:rsidRPr="002A789B" w:rsidRDefault="00A87C13" w:rsidP="009922F5">
      <w:pPr>
        <w:rPr>
          <w:rFonts w:ascii="Arial" w:hAnsi="Arial" w:cs="Arial"/>
          <w:b/>
        </w:rPr>
      </w:pPr>
    </w:p>
    <w:p w:rsidR="00CD3BDC" w:rsidRPr="002A789B" w:rsidRDefault="00E74F43" w:rsidP="002E3EAD">
      <w:pPr>
        <w:spacing w:line="480" w:lineRule="auto"/>
        <w:jc w:val="both"/>
        <w:rPr>
          <w:rFonts w:ascii="Arial" w:hAnsi="Arial" w:cs="Arial"/>
        </w:rPr>
      </w:pPr>
      <w:r w:rsidRPr="002A789B">
        <w:rPr>
          <w:rFonts w:ascii="Arial" w:hAnsi="Arial" w:cs="Arial"/>
        </w:rPr>
        <w:t>To evaluate the relationship of glucose</w:t>
      </w:r>
      <w:r w:rsidR="00F671DA" w:rsidRPr="002A789B">
        <w:rPr>
          <w:rFonts w:ascii="Arial" w:hAnsi="Arial" w:cs="Arial"/>
        </w:rPr>
        <w:t xml:space="preserve"> and glycated h</w:t>
      </w:r>
      <w:r w:rsidR="00C35EB7">
        <w:rPr>
          <w:rFonts w:ascii="Arial" w:hAnsi="Arial" w:cs="Arial"/>
        </w:rPr>
        <w:t>a</w:t>
      </w:r>
      <w:r w:rsidR="00F671DA" w:rsidRPr="002A789B">
        <w:rPr>
          <w:rFonts w:ascii="Arial" w:hAnsi="Arial" w:cs="Arial"/>
        </w:rPr>
        <w:t>emoglobin (HbA1C)</w:t>
      </w:r>
      <w:r w:rsidR="00E43155" w:rsidRPr="002A789B">
        <w:rPr>
          <w:rFonts w:ascii="Arial" w:hAnsi="Arial" w:cs="Arial"/>
        </w:rPr>
        <w:t xml:space="preserve"> in type 1 diabetes model induced by streptozotocin.</w:t>
      </w:r>
    </w:p>
    <w:p w:rsidR="00E43155" w:rsidRPr="002A789B" w:rsidRDefault="00E43155" w:rsidP="00F671DA">
      <w:pPr>
        <w:jc w:val="both"/>
        <w:rPr>
          <w:rFonts w:ascii="Arial" w:hAnsi="Arial" w:cs="Arial"/>
        </w:rPr>
      </w:pPr>
    </w:p>
    <w:p w:rsidR="008A336B" w:rsidRDefault="008A336B">
      <w:pPr>
        <w:rPr>
          <w:rFonts w:ascii="Arial" w:hAnsi="Arial" w:cs="Arial"/>
          <w:b/>
          <w:u w:val="single"/>
        </w:rPr>
      </w:pPr>
      <w:r>
        <w:rPr>
          <w:rFonts w:ascii="Arial" w:hAnsi="Arial" w:cs="Arial"/>
          <w:b/>
          <w:u w:val="single"/>
        </w:rPr>
        <w:br w:type="page"/>
      </w:r>
    </w:p>
    <w:p w:rsidR="00E43155" w:rsidRPr="002A789B" w:rsidRDefault="00E43155" w:rsidP="00F671DA">
      <w:pPr>
        <w:jc w:val="both"/>
        <w:rPr>
          <w:rFonts w:ascii="Arial" w:hAnsi="Arial" w:cs="Arial"/>
          <w:b/>
          <w:u w:val="single"/>
        </w:rPr>
      </w:pPr>
      <w:r w:rsidRPr="002A789B">
        <w:rPr>
          <w:rFonts w:ascii="Arial" w:hAnsi="Arial" w:cs="Arial"/>
          <w:b/>
          <w:u w:val="single"/>
        </w:rPr>
        <w:lastRenderedPageBreak/>
        <w:t>RESEARCH DESIGN AND METHODS</w:t>
      </w:r>
    </w:p>
    <w:p w:rsidR="00A87C13" w:rsidRPr="002A789B" w:rsidRDefault="00A87C13" w:rsidP="00F671DA">
      <w:pPr>
        <w:jc w:val="both"/>
        <w:rPr>
          <w:rFonts w:ascii="Arial" w:hAnsi="Arial" w:cs="Arial"/>
          <w:b/>
          <w:u w:val="single"/>
        </w:rPr>
      </w:pPr>
    </w:p>
    <w:p w:rsidR="00E43155" w:rsidRPr="002A789B" w:rsidRDefault="00BB3AA2" w:rsidP="002A789B">
      <w:pPr>
        <w:spacing w:line="480" w:lineRule="auto"/>
        <w:jc w:val="both"/>
        <w:rPr>
          <w:rFonts w:ascii="Arial" w:hAnsi="Arial" w:cs="Arial"/>
        </w:rPr>
      </w:pPr>
      <w:r w:rsidRPr="002A789B">
        <w:rPr>
          <w:rFonts w:ascii="Arial" w:hAnsi="Arial" w:cs="Arial"/>
        </w:rPr>
        <w:t>Induction of diabetes mellitus was ach</w:t>
      </w:r>
      <w:r w:rsidR="000B323C" w:rsidRPr="002A789B">
        <w:rPr>
          <w:rFonts w:ascii="Arial" w:hAnsi="Arial" w:cs="Arial"/>
        </w:rPr>
        <w:t>ieved through the intraperitoneal</w:t>
      </w:r>
      <w:r w:rsidRPr="002A789B">
        <w:rPr>
          <w:rFonts w:ascii="Arial" w:hAnsi="Arial" w:cs="Arial"/>
        </w:rPr>
        <w:t xml:space="preserve"> injection of 70mg/kg body weight of s</w:t>
      </w:r>
      <w:r w:rsidR="000B323C" w:rsidRPr="002A789B">
        <w:rPr>
          <w:rFonts w:ascii="Arial" w:hAnsi="Arial" w:cs="Arial"/>
        </w:rPr>
        <w:t>treptozotocin dissolved in 1m ci</w:t>
      </w:r>
      <w:r w:rsidRPr="002A789B">
        <w:rPr>
          <w:rFonts w:ascii="Arial" w:hAnsi="Arial" w:cs="Arial"/>
        </w:rPr>
        <w:t>trate buffer p</w:t>
      </w:r>
      <w:r w:rsidRPr="002A789B">
        <w:rPr>
          <w:rFonts w:ascii="Arial" w:hAnsi="Arial" w:cs="Arial"/>
          <w:vertAlign w:val="superscript"/>
        </w:rPr>
        <w:t>H</w:t>
      </w:r>
      <w:r w:rsidRPr="002A789B">
        <w:rPr>
          <w:rFonts w:ascii="Arial" w:hAnsi="Arial" w:cs="Arial"/>
        </w:rPr>
        <w:t xml:space="preserve"> 4.5 twice daily for 2 days. A total number of thirty rats were used selected among those that have exceeded glu</w:t>
      </w:r>
      <w:r w:rsidR="001A570E" w:rsidRPr="002A789B">
        <w:rPr>
          <w:rFonts w:ascii="Arial" w:hAnsi="Arial" w:cs="Arial"/>
        </w:rPr>
        <w:t xml:space="preserve">cose threshold (&gt;10.0mmol/l) 2 </w:t>
      </w:r>
      <w:r w:rsidRPr="002A789B">
        <w:rPr>
          <w:rFonts w:ascii="Arial" w:hAnsi="Arial" w:cs="Arial"/>
        </w:rPr>
        <w:t>weeks after</w:t>
      </w:r>
      <w:r w:rsidR="001A570E" w:rsidRPr="002A789B">
        <w:rPr>
          <w:rFonts w:ascii="Arial" w:hAnsi="Arial" w:cs="Arial"/>
        </w:rPr>
        <w:t xml:space="preserve"> streptozotocin induction. All rats weighed between 240-300g. Samples for fasting plasma glucose and glycated</w:t>
      </w:r>
      <w:r w:rsidR="00253F5D" w:rsidRPr="002A789B">
        <w:rPr>
          <w:rFonts w:ascii="Arial" w:hAnsi="Arial" w:cs="Arial"/>
        </w:rPr>
        <w:t xml:space="preserve"> h</w:t>
      </w:r>
      <w:r w:rsidR="00526977">
        <w:rPr>
          <w:rFonts w:ascii="Arial" w:hAnsi="Arial" w:cs="Arial"/>
        </w:rPr>
        <w:t>a</w:t>
      </w:r>
      <w:r w:rsidR="00253F5D" w:rsidRPr="002A789B">
        <w:rPr>
          <w:rFonts w:ascii="Arial" w:hAnsi="Arial" w:cs="Arial"/>
        </w:rPr>
        <w:t xml:space="preserve">emoglobin were collected at the tail vein. Glucose </w:t>
      </w:r>
      <w:r w:rsidR="00221B40" w:rsidRPr="002A789B">
        <w:rPr>
          <w:rFonts w:ascii="Arial" w:hAnsi="Arial" w:cs="Arial"/>
        </w:rPr>
        <w:t xml:space="preserve"> was determined </w:t>
      </w:r>
      <w:r w:rsidR="0035635F">
        <w:rPr>
          <w:rFonts w:ascii="Arial" w:hAnsi="Arial" w:cs="Arial"/>
        </w:rPr>
        <w:t xml:space="preserve">by the </w:t>
      </w:r>
      <w:r w:rsidR="00221B40" w:rsidRPr="002A789B">
        <w:rPr>
          <w:rFonts w:ascii="Arial" w:hAnsi="Arial" w:cs="Arial"/>
        </w:rPr>
        <w:t xml:space="preserve">glucose oxidase </w:t>
      </w:r>
      <w:r w:rsidR="00253F5D" w:rsidRPr="002A789B">
        <w:rPr>
          <w:rFonts w:ascii="Arial" w:hAnsi="Arial" w:cs="Arial"/>
        </w:rPr>
        <w:t xml:space="preserve">method and HbA1C was determined by High Performance Liquid Chromatograph (HPLC-Esi/ms) with </w:t>
      </w:r>
      <w:r w:rsidR="002E732A" w:rsidRPr="002A789B">
        <w:rPr>
          <w:rFonts w:ascii="Arial" w:hAnsi="Arial" w:cs="Arial"/>
        </w:rPr>
        <w:t>u</w:t>
      </w:r>
      <w:r w:rsidR="00253F5D" w:rsidRPr="002A789B">
        <w:rPr>
          <w:rFonts w:ascii="Arial" w:hAnsi="Arial" w:cs="Arial"/>
        </w:rPr>
        <w:t xml:space="preserve">v detection. Data </w:t>
      </w:r>
      <w:r w:rsidR="00CD0326" w:rsidRPr="002A789B">
        <w:rPr>
          <w:rFonts w:ascii="Arial" w:hAnsi="Arial" w:cs="Arial"/>
        </w:rPr>
        <w:t>was analysed by one way and two way analysis of variance using SPSS version.</w:t>
      </w:r>
    </w:p>
    <w:p w:rsidR="00CD0326" w:rsidRPr="002A789B" w:rsidRDefault="00CD0326" w:rsidP="00F671DA">
      <w:pPr>
        <w:jc w:val="both"/>
        <w:rPr>
          <w:rFonts w:ascii="Arial" w:hAnsi="Arial" w:cs="Arial"/>
        </w:rPr>
      </w:pPr>
    </w:p>
    <w:p w:rsidR="008A336B" w:rsidRDefault="008A336B">
      <w:pPr>
        <w:rPr>
          <w:rFonts w:ascii="Arial" w:hAnsi="Arial" w:cs="Arial"/>
          <w:b/>
          <w:u w:val="single"/>
        </w:rPr>
      </w:pPr>
      <w:r>
        <w:rPr>
          <w:rFonts w:ascii="Arial" w:hAnsi="Arial" w:cs="Arial"/>
          <w:b/>
          <w:u w:val="single"/>
        </w:rPr>
        <w:br w:type="page"/>
      </w:r>
    </w:p>
    <w:p w:rsidR="00CD0326" w:rsidRPr="002A789B" w:rsidRDefault="00CD0326" w:rsidP="00F671DA">
      <w:pPr>
        <w:jc w:val="both"/>
        <w:rPr>
          <w:rFonts w:ascii="Arial" w:hAnsi="Arial" w:cs="Arial"/>
          <w:b/>
          <w:u w:val="single"/>
        </w:rPr>
      </w:pPr>
      <w:r w:rsidRPr="002A789B">
        <w:rPr>
          <w:rFonts w:ascii="Arial" w:hAnsi="Arial" w:cs="Arial"/>
          <w:b/>
          <w:u w:val="single"/>
        </w:rPr>
        <w:lastRenderedPageBreak/>
        <w:t>RESULTS</w:t>
      </w:r>
    </w:p>
    <w:p w:rsidR="00A87C13" w:rsidRPr="002A789B" w:rsidRDefault="00A87C13" w:rsidP="00F671DA">
      <w:pPr>
        <w:jc w:val="both"/>
        <w:rPr>
          <w:rFonts w:ascii="Arial" w:hAnsi="Arial" w:cs="Arial"/>
          <w:b/>
          <w:u w:val="single"/>
        </w:rPr>
      </w:pPr>
    </w:p>
    <w:p w:rsidR="001A570E" w:rsidRDefault="00A4296A" w:rsidP="002A789B">
      <w:pPr>
        <w:spacing w:line="480" w:lineRule="auto"/>
        <w:jc w:val="both"/>
        <w:rPr>
          <w:rFonts w:ascii="Arial" w:hAnsi="Arial" w:cs="Arial"/>
        </w:rPr>
      </w:pPr>
      <w:r w:rsidRPr="002A789B">
        <w:rPr>
          <w:rFonts w:ascii="Arial" w:hAnsi="Arial" w:cs="Arial"/>
        </w:rPr>
        <w:t>Significant linear relationship was demonstrated between plasma glucose level and glycated h</w:t>
      </w:r>
      <w:r w:rsidR="00637096">
        <w:rPr>
          <w:rFonts w:ascii="Arial" w:hAnsi="Arial" w:cs="Arial"/>
        </w:rPr>
        <w:t>a</w:t>
      </w:r>
      <w:r w:rsidRPr="002A789B">
        <w:rPr>
          <w:rFonts w:ascii="Arial" w:hAnsi="Arial" w:cs="Arial"/>
        </w:rPr>
        <w:t xml:space="preserve">emoglobin which could be predictive of risk of developing diabetes. Control samples had values within reference range, glucose (3.5-6.5 mmol/l) and glycated hemoglobin (4.3-7%). However diabetic test rats elicited values that varied significantly with time. Test </w:t>
      </w:r>
      <w:r w:rsidR="008F4479" w:rsidRPr="002A789B">
        <w:rPr>
          <w:rFonts w:ascii="Arial" w:hAnsi="Arial" w:cs="Arial"/>
        </w:rPr>
        <w:t>result confirms</w:t>
      </w:r>
      <w:r w:rsidRPr="002A789B">
        <w:rPr>
          <w:rFonts w:ascii="Arial" w:hAnsi="Arial" w:cs="Arial"/>
        </w:rPr>
        <w:t xml:space="preserve"> the fact that higher mean values of plasma glucose in diabetic (positive) controls were due to the effect of streptozotocin.</w:t>
      </w:r>
    </w:p>
    <w:p w:rsidR="002E3EAD" w:rsidRPr="002A789B" w:rsidRDefault="002E3EAD" w:rsidP="002A789B">
      <w:pPr>
        <w:spacing w:line="480" w:lineRule="auto"/>
        <w:jc w:val="both"/>
        <w:rPr>
          <w:rFonts w:ascii="Arial" w:hAnsi="Arial" w:cs="Arial"/>
        </w:rPr>
      </w:pPr>
    </w:p>
    <w:p w:rsidR="008A336B" w:rsidRDefault="008A336B">
      <w:pPr>
        <w:rPr>
          <w:rFonts w:ascii="Arial" w:hAnsi="Arial" w:cs="Arial"/>
          <w:b/>
          <w:u w:val="single"/>
        </w:rPr>
      </w:pPr>
      <w:r>
        <w:rPr>
          <w:rFonts w:ascii="Arial" w:hAnsi="Arial" w:cs="Arial"/>
          <w:b/>
          <w:u w:val="single"/>
        </w:rPr>
        <w:br w:type="page"/>
      </w:r>
    </w:p>
    <w:p w:rsidR="00A4296A" w:rsidRPr="002A789B" w:rsidRDefault="00A4296A" w:rsidP="00F671DA">
      <w:pPr>
        <w:jc w:val="both"/>
        <w:rPr>
          <w:rFonts w:ascii="Arial" w:hAnsi="Arial" w:cs="Arial"/>
          <w:b/>
          <w:u w:val="single"/>
        </w:rPr>
      </w:pPr>
      <w:r w:rsidRPr="002A789B">
        <w:rPr>
          <w:rFonts w:ascii="Arial" w:hAnsi="Arial" w:cs="Arial"/>
          <w:b/>
          <w:u w:val="single"/>
        </w:rPr>
        <w:lastRenderedPageBreak/>
        <w:t>CONCLUSION</w:t>
      </w:r>
    </w:p>
    <w:p w:rsidR="00A87C13" w:rsidRPr="002A789B" w:rsidRDefault="00A87C13" w:rsidP="00F671DA">
      <w:pPr>
        <w:jc w:val="both"/>
        <w:rPr>
          <w:rFonts w:ascii="Arial" w:hAnsi="Arial" w:cs="Arial"/>
          <w:b/>
          <w:u w:val="single"/>
        </w:rPr>
      </w:pPr>
    </w:p>
    <w:p w:rsidR="00243855" w:rsidRDefault="004A3EF3" w:rsidP="002E3EAD">
      <w:pPr>
        <w:spacing w:line="480" w:lineRule="auto"/>
        <w:jc w:val="both"/>
        <w:rPr>
          <w:rFonts w:ascii="Arial" w:hAnsi="Arial" w:cs="Arial"/>
        </w:rPr>
      </w:pPr>
      <w:r w:rsidRPr="002A789B">
        <w:rPr>
          <w:rFonts w:ascii="Arial" w:hAnsi="Arial" w:cs="Arial"/>
        </w:rPr>
        <w:t>Plasma glucose and glycated hemoglobin</w:t>
      </w:r>
      <w:r w:rsidR="00243855" w:rsidRPr="002A789B">
        <w:rPr>
          <w:rFonts w:ascii="Arial" w:hAnsi="Arial" w:cs="Arial"/>
        </w:rPr>
        <w:t xml:space="preserve"> show positively mutual relationship and can be used in early diagnosis of diabetes mellitus</w:t>
      </w:r>
      <w:r w:rsidR="007A5775" w:rsidRPr="002A789B">
        <w:rPr>
          <w:rFonts w:ascii="Arial" w:hAnsi="Arial" w:cs="Arial"/>
        </w:rPr>
        <w:t>.</w:t>
      </w:r>
      <w:r w:rsidR="00243855" w:rsidRPr="002A789B">
        <w:rPr>
          <w:rFonts w:ascii="Arial" w:hAnsi="Arial" w:cs="Arial"/>
        </w:rPr>
        <w:t xml:space="preserve"> </w:t>
      </w:r>
      <w:r w:rsidR="007A5775" w:rsidRPr="002A789B">
        <w:rPr>
          <w:rFonts w:ascii="Arial" w:hAnsi="Arial" w:cs="Arial"/>
        </w:rPr>
        <w:t xml:space="preserve">Using </w:t>
      </w:r>
      <w:r w:rsidR="00243855" w:rsidRPr="002A789B">
        <w:rPr>
          <w:rFonts w:ascii="Arial" w:hAnsi="Arial" w:cs="Arial"/>
        </w:rPr>
        <w:t>correlation coefficient and regression enhances measurement of the strength of the bivariate association and is predictive.</w:t>
      </w:r>
    </w:p>
    <w:p w:rsidR="000773CD" w:rsidRDefault="000773CD" w:rsidP="000773CD">
      <w:pPr>
        <w:jc w:val="both"/>
        <w:rPr>
          <w:rFonts w:ascii="Arial" w:hAnsi="Arial" w:cs="Arial"/>
          <w:b/>
        </w:rPr>
      </w:pPr>
    </w:p>
    <w:p w:rsidR="00C36053" w:rsidRPr="000773CD" w:rsidRDefault="00C36053" w:rsidP="002E3EAD">
      <w:pPr>
        <w:spacing w:line="480" w:lineRule="auto"/>
        <w:jc w:val="both"/>
        <w:rPr>
          <w:rFonts w:ascii="Arial" w:hAnsi="Arial" w:cs="Arial"/>
        </w:rPr>
      </w:pPr>
      <w:r w:rsidRPr="00C36053">
        <w:rPr>
          <w:rFonts w:ascii="Arial" w:hAnsi="Arial" w:cs="Arial"/>
          <w:b/>
        </w:rPr>
        <w:t>KEYWORDS</w:t>
      </w:r>
      <w:r w:rsidR="000773CD">
        <w:rPr>
          <w:rFonts w:ascii="Arial" w:hAnsi="Arial" w:cs="Arial"/>
          <w:b/>
        </w:rPr>
        <w:t xml:space="preserve">: </w:t>
      </w:r>
      <w:r w:rsidR="000773CD">
        <w:rPr>
          <w:rFonts w:ascii="Arial" w:hAnsi="Arial" w:cs="Arial"/>
        </w:rPr>
        <w:t>Glycated h</w:t>
      </w:r>
      <w:r w:rsidR="00734B29">
        <w:rPr>
          <w:rFonts w:ascii="Arial" w:hAnsi="Arial" w:cs="Arial"/>
        </w:rPr>
        <w:t>a</w:t>
      </w:r>
      <w:r w:rsidR="000773CD">
        <w:rPr>
          <w:rFonts w:ascii="Arial" w:hAnsi="Arial" w:cs="Arial"/>
        </w:rPr>
        <w:t>emoglobin, Glucose, Streptozotocin, Regression,</w:t>
      </w:r>
      <w:r w:rsidR="00841D4C">
        <w:rPr>
          <w:rFonts w:ascii="Arial" w:hAnsi="Arial" w:cs="Arial"/>
        </w:rPr>
        <w:t xml:space="preserve"> Correlation Coefficient.</w:t>
      </w:r>
    </w:p>
    <w:p w:rsidR="00243855" w:rsidRPr="002A789B" w:rsidRDefault="00243855" w:rsidP="00F671DA">
      <w:pPr>
        <w:jc w:val="both"/>
        <w:rPr>
          <w:rFonts w:ascii="Arial" w:hAnsi="Arial" w:cs="Arial"/>
        </w:rPr>
      </w:pPr>
    </w:p>
    <w:p w:rsidR="008A336B" w:rsidRDefault="008A336B">
      <w:pPr>
        <w:rPr>
          <w:rFonts w:ascii="Arial" w:hAnsi="Arial" w:cs="Arial"/>
          <w:b/>
          <w:u w:val="single"/>
        </w:rPr>
      </w:pPr>
      <w:r>
        <w:rPr>
          <w:rFonts w:ascii="Arial" w:hAnsi="Arial" w:cs="Arial"/>
          <w:b/>
          <w:u w:val="single"/>
        </w:rPr>
        <w:br w:type="page"/>
      </w:r>
    </w:p>
    <w:p w:rsidR="00243855" w:rsidRPr="002A789B" w:rsidRDefault="00243855" w:rsidP="00F671DA">
      <w:pPr>
        <w:jc w:val="both"/>
        <w:rPr>
          <w:rFonts w:ascii="Arial" w:hAnsi="Arial" w:cs="Arial"/>
          <w:b/>
          <w:u w:val="single"/>
        </w:rPr>
      </w:pPr>
      <w:r w:rsidRPr="002A789B">
        <w:rPr>
          <w:rFonts w:ascii="Arial" w:hAnsi="Arial" w:cs="Arial"/>
          <w:b/>
          <w:u w:val="single"/>
        </w:rPr>
        <w:lastRenderedPageBreak/>
        <w:t>INTRODUCTION</w:t>
      </w:r>
    </w:p>
    <w:p w:rsidR="00A87C13" w:rsidRPr="002A789B" w:rsidRDefault="00A87C13" w:rsidP="00F671DA">
      <w:pPr>
        <w:jc w:val="both"/>
        <w:rPr>
          <w:rFonts w:ascii="Arial" w:hAnsi="Arial" w:cs="Arial"/>
          <w:b/>
          <w:u w:val="single"/>
        </w:rPr>
      </w:pPr>
    </w:p>
    <w:p w:rsidR="00A4296A" w:rsidRPr="002A789B" w:rsidRDefault="009D6B50" w:rsidP="00841D4C">
      <w:pPr>
        <w:spacing w:line="480" w:lineRule="auto"/>
        <w:jc w:val="both"/>
        <w:rPr>
          <w:rFonts w:ascii="Arial" w:hAnsi="Arial" w:cs="Arial"/>
        </w:rPr>
      </w:pPr>
      <w:r w:rsidRPr="002A789B">
        <w:rPr>
          <w:rFonts w:ascii="Arial" w:hAnsi="Arial" w:cs="Arial"/>
        </w:rPr>
        <w:t>The use of glycated hemoglobin as a screening test for diabetes mellitus has become relevant. Its advantage has vitiated the use of other test like oral glucose tolerance (OGTT), 2-hours postprandial, Random or Fasting blood glucose. It is</w:t>
      </w:r>
      <w:r w:rsidR="00243855" w:rsidRPr="002A789B">
        <w:rPr>
          <w:rFonts w:ascii="Arial" w:hAnsi="Arial" w:cs="Arial"/>
        </w:rPr>
        <w:t xml:space="preserve"> </w:t>
      </w:r>
      <w:r w:rsidRPr="002A789B">
        <w:rPr>
          <w:rFonts w:ascii="Arial" w:hAnsi="Arial" w:cs="Arial"/>
        </w:rPr>
        <w:t>convenient for both</w:t>
      </w:r>
      <w:r w:rsidR="00DE4CA0" w:rsidRPr="002A789B">
        <w:rPr>
          <w:rFonts w:ascii="Arial" w:hAnsi="Arial" w:cs="Arial"/>
        </w:rPr>
        <w:t xml:space="preserve"> the patient and the healthcare provider since samples can be collected at anytime of the day. The additional advantage being an indicator of the glycemic status over the previous 4-6 weeks is reflective of its use in management. Wolffenbutted et al (1980)</w:t>
      </w:r>
      <w:r w:rsidR="00984227" w:rsidRPr="002A789B">
        <w:rPr>
          <w:rFonts w:ascii="Arial" w:hAnsi="Arial" w:cs="Arial"/>
        </w:rPr>
        <w:t xml:space="preserve"> have suggested that</w:t>
      </w:r>
      <w:r w:rsidR="00A23221" w:rsidRPr="002A789B">
        <w:rPr>
          <w:rFonts w:ascii="Arial" w:hAnsi="Arial" w:cs="Arial"/>
        </w:rPr>
        <w:t xml:space="preserve"> long-term modification of hemoglobin by advanced glycosylation</w:t>
      </w:r>
      <w:r w:rsidR="00923B4E" w:rsidRPr="002A789B">
        <w:rPr>
          <w:rFonts w:ascii="Arial" w:hAnsi="Arial" w:cs="Arial"/>
        </w:rPr>
        <w:t xml:space="preserve"> end products (H</w:t>
      </w:r>
      <w:r w:rsidR="00724980" w:rsidRPr="002A789B">
        <w:rPr>
          <w:rFonts w:ascii="Arial" w:hAnsi="Arial" w:cs="Arial"/>
        </w:rPr>
        <w:t>b-</w:t>
      </w:r>
      <w:r w:rsidR="00923B4E" w:rsidRPr="002A789B">
        <w:rPr>
          <w:rFonts w:ascii="Arial" w:hAnsi="Arial" w:cs="Arial"/>
        </w:rPr>
        <w:t>AGEs) would be a better index for long-term glycemic patient having diabetes. The observation that AGEs are formed on h</w:t>
      </w:r>
      <w:r w:rsidR="00C04DFA">
        <w:rPr>
          <w:rFonts w:ascii="Arial" w:hAnsi="Arial" w:cs="Arial"/>
        </w:rPr>
        <w:t>a</w:t>
      </w:r>
      <w:r w:rsidR="00923B4E" w:rsidRPr="002A789B">
        <w:rPr>
          <w:rFonts w:ascii="Arial" w:hAnsi="Arial" w:cs="Arial"/>
        </w:rPr>
        <w:t>emoglobin</w:t>
      </w:r>
      <w:r w:rsidR="006B4C3F" w:rsidRPr="002A789B">
        <w:rPr>
          <w:rFonts w:ascii="Arial" w:hAnsi="Arial" w:cs="Arial"/>
        </w:rPr>
        <w:t xml:space="preserve"> suggest that HbA1C is a</w:t>
      </w:r>
      <w:r w:rsidR="005A3D49" w:rsidRPr="002A789B">
        <w:rPr>
          <w:rFonts w:ascii="Arial" w:hAnsi="Arial" w:cs="Arial"/>
        </w:rPr>
        <w:t xml:space="preserve"> precursor for Hb-AGE, which is</w:t>
      </w:r>
      <w:r w:rsidR="00130B6D" w:rsidRPr="002A789B">
        <w:rPr>
          <w:rFonts w:ascii="Arial" w:hAnsi="Arial" w:cs="Arial"/>
        </w:rPr>
        <w:t xml:space="preserve"> stable to dialysis, acid precipitation and proteolysis. Reactive derivatives from non-enzymatic glucose protein condensation reactions as well as nucleic acid and lipids that are exposed to reducing sugars notably glucose, form a</w:t>
      </w:r>
      <w:r w:rsidR="00077573" w:rsidRPr="002A789B">
        <w:rPr>
          <w:rFonts w:ascii="Arial" w:hAnsi="Arial" w:cs="Arial"/>
        </w:rPr>
        <w:t xml:space="preserve"> </w:t>
      </w:r>
      <w:r w:rsidR="003C24EB" w:rsidRPr="002A789B">
        <w:rPr>
          <w:rFonts w:ascii="Arial" w:hAnsi="Arial" w:cs="Arial"/>
        </w:rPr>
        <w:t>heterogeneous</w:t>
      </w:r>
      <w:r w:rsidR="00077573" w:rsidRPr="002A789B">
        <w:rPr>
          <w:rFonts w:ascii="Arial" w:hAnsi="Arial" w:cs="Arial"/>
        </w:rPr>
        <w:t xml:space="preserve"> groups of irreversible adducts called Advanced glycated endproducts (AGEs). They were earlier characterized by a yellow-brown fluorescent colour and in addition to their capacity to form cross-links with and between amino groups (</w:t>
      </w:r>
      <w:r w:rsidR="00437BBF" w:rsidRPr="002A789B">
        <w:rPr>
          <w:rFonts w:ascii="Arial" w:hAnsi="Arial" w:cs="Arial"/>
        </w:rPr>
        <w:t>BrownLee M. et al, 1988). AGEs are now used broadly to include advanced products of glycation process the “Maillard Reaction” which includes</w:t>
      </w:r>
      <w:r w:rsidR="003C24EB" w:rsidRPr="002A789B">
        <w:rPr>
          <w:rFonts w:ascii="Arial" w:hAnsi="Arial" w:cs="Arial"/>
        </w:rPr>
        <w:t xml:space="preserve"> N- carboxymeth</w:t>
      </w:r>
      <w:r w:rsidR="00F938AF" w:rsidRPr="002A789B">
        <w:rPr>
          <w:rFonts w:ascii="Arial" w:hAnsi="Arial" w:cs="Arial"/>
        </w:rPr>
        <w:t>yll</w:t>
      </w:r>
      <w:r w:rsidR="003C24EB" w:rsidRPr="002A789B">
        <w:rPr>
          <w:rFonts w:ascii="Arial" w:hAnsi="Arial" w:cs="Arial"/>
        </w:rPr>
        <w:t>ysine (C</w:t>
      </w:r>
      <w:r w:rsidR="008E2FE1" w:rsidRPr="002A789B">
        <w:rPr>
          <w:rFonts w:ascii="Arial" w:hAnsi="Arial" w:cs="Arial"/>
        </w:rPr>
        <w:t>ML</w:t>
      </w:r>
      <w:r w:rsidR="003C24EB" w:rsidRPr="002A789B">
        <w:rPr>
          <w:rFonts w:ascii="Arial" w:hAnsi="Arial" w:cs="Arial"/>
        </w:rPr>
        <w:t>) and pyrraline which do not cross-link, neither fluorescence nor show colour (Takenhim M. et al 2004). C</w:t>
      </w:r>
      <w:r w:rsidR="008E2FE1" w:rsidRPr="002A789B">
        <w:rPr>
          <w:rFonts w:ascii="Arial" w:hAnsi="Arial" w:cs="Arial"/>
        </w:rPr>
        <w:t xml:space="preserve">ML </w:t>
      </w:r>
      <w:r w:rsidR="00182EBC" w:rsidRPr="002A789B">
        <w:rPr>
          <w:rFonts w:ascii="Arial" w:hAnsi="Arial" w:cs="Arial"/>
        </w:rPr>
        <w:t xml:space="preserve">are </w:t>
      </w:r>
      <w:r w:rsidR="003C24EB" w:rsidRPr="002A789B">
        <w:rPr>
          <w:rFonts w:ascii="Arial" w:hAnsi="Arial" w:cs="Arial"/>
        </w:rPr>
        <w:t>formed from the precursors of glyoxal and glycoaldehyde by an intramolecular cannizzaro reaction, a process that is la</w:t>
      </w:r>
      <w:r w:rsidR="006C3D36" w:rsidRPr="002A789B">
        <w:rPr>
          <w:rFonts w:ascii="Arial" w:hAnsi="Arial" w:cs="Arial"/>
        </w:rPr>
        <w:t>r</w:t>
      </w:r>
      <w:r w:rsidR="003C24EB" w:rsidRPr="002A789B">
        <w:rPr>
          <w:rFonts w:ascii="Arial" w:hAnsi="Arial" w:cs="Arial"/>
        </w:rPr>
        <w:t>gely independent of glucose</w:t>
      </w:r>
      <w:r w:rsidR="006C3D36" w:rsidRPr="002A789B">
        <w:rPr>
          <w:rFonts w:ascii="Arial" w:hAnsi="Arial" w:cs="Arial"/>
        </w:rPr>
        <w:t xml:space="preserve"> autoxidation (Glomb M.A., et al 1995). Interestingly, the</w:t>
      </w:r>
      <w:r w:rsidR="00224EAD" w:rsidRPr="002A789B">
        <w:rPr>
          <w:rFonts w:ascii="Arial" w:hAnsi="Arial" w:cs="Arial"/>
        </w:rPr>
        <w:t xml:space="preserve"> concept that C</w:t>
      </w:r>
      <w:r w:rsidR="00841D4C" w:rsidRPr="002A789B">
        <w:rPr>
          <w:rFonts w:ascii="Arial" w:hAnsi="Arial" w:cs="Arial"/>
        </w:rPr>
        <w:t>ML</w:t>
      </w:r>
      <w:r w:rsidR="00224EAD" w:rsidRPr="002A789B">
        <w:rPr>
          <w:rFonts w:ascii="Arial" w:hAnsi="Arial" w:cs="Arial"/>
        </w:rPr>
        <w:t xml:space="preserve"> is a m</w:t>
      </w:r>
      <w:r w:rsidR="00CA03BB" w:rsidRPr="002A789B">
        <w:rPr>
          <w:rFonts w:ascii="Arial" w:hAnsi="Arial" w:cs="Arial"/>
        </w:rPr>
        <w:t>arker of oxidation rather than glycation has recently attracted support.</w:t>
      </w:r>
    </w:p>
    <w:p w:rsidR="00CA03BB" w:rsidRPr="002A789B" w:rsidRDefault="00CA03BB" w:rsidP="00F671DA">
      <w:pPr>
        <w:jc w:val="both"/>
        <w:rPr>
          <w:rFonts w:ascii="Arial" w:hAnsi="Arial" w:cs="Arial"/>
        </w:rPr>
      </w:pPr>
    </w:p>
    <w:p w:rsidR="00CA03BB" w:rsidRPr="002A789B" w:rsidRDefault="00CA03BB" w:rsidP="002A789B">
      <w:pPr>
        <w:spacing w:line="480" w:lineRule="auto"/>
        <w:jc w:val="both"/>
        <w:rPr>
          <w:rFonts w:ascii="Arial" w:hAnsi="Arial" w:cs="Arial"/>
        </w:rPr>
      </w:pPr>
      <w:r w:rsidRPr="002A789B">
        <w:rPr>
          <w:rFonts w:ascii="Arial" w:hAnsi="Arial" w:cs="Arial"/>
        </w:rPr>
        <w:lastRenderedPageBreak/>
        <w:t>It is now known that the formation of AGEs invitro and invivo is largely dependent on the turnover rate of the chemically modified target</w:t>
      </w:r>
      <w:r w:rsidR="00856B98" w:rsidRPr="002A789B">
        <w:rPr>
          <w:rFonts w:ascii="Arial" w:hAnsi="Arial" w:cs="Arial"/>
        </w:rPr>
        <w:t xml:space="preserve">, the time available, and the sugar concentration. The structures of the various cross-linked AGEs that are generated invivo have not yet been chemically determined, this </w:t>
      </w:r>
      <w:r w:rsidR="00D5461F" w:rsidRPr="002A789B">
        <w:rPr>
          <w:rFonts w:ascii="Arial" w:hAnsi="Arial" w:cs="Arial"/>
        </w:rPr>
        <w:t xml:space="preserve">is </w:t>
      </w:r>
      <w:r w:rsidR="00856B98" w:rsidRPr="002A789B">
        <w:rPr>
          <w:rFonts w:ascii="Arial" w:hAnsi="Arial" w:cs="Arial"/>
        </w:rPr>
        <w:t>largely due to their heterogeneity and the complexity of the c</w:t>
      </w:r>
      <w:r w:rsidR="00201BC8" w:rsidRPr="002A789B">
        <w:rPr>
          <w:rFonts w:ascii="Arial" w:hAnsi="Arial" w:cs="Arial"/>
        </w:rPr>
        <w:t>hemical reactions involved. AGEs are formed by the Milliard process, a non-enzymatic reaction between</w:t>
      </w:r>
      <w:r w:rsidR="009F6AA3" w:rsidRPr="002A789B">
        <w:rPr>
          <w:rFonts w:ascii="Arial" w:hAnsi="Arial" w:cs="Arial"/>
        </w:rPr>
        <w:t xml:space="preserve"> Ketone group</w:t>
      </w:r>
      <w:r w:rsidR="00A72E3C" w:rsidRPr="002A789B">
        <w:rPr>
          <w:rFonts w:ascii="Arial" w:hAnsi="Arial" w:cs="Arial"/>
        </w:rPr>
        <w:t xml:space="preserve"> of the glucose molecule</w:t>
      </w:r>
      <w:r w:rsidR="00A73967" w:rsidRPr="002A789B">
        <w:rPr>
          <w:rFonts w:ascii="Arial" w:hAnsi="Arial" w:cs="Arial"/>
        </w:rPr>
        <w:t xml:space="preserve"> or adehyde and the amino group of proteins that contributes to the</w:t>
      </w:r>
      <w:r w:rsidR="0033296F" w:rsidRPr="002A789B">
        <w:rPr>
          <w:rFonts w:ascii="Arial" w:hAnsi="Arial" w:cs="Arial"/>
        </w:rPr>
        <w:t xml:space="preserve"> ageing of proteins and several pathological complications of diabetes mellitus</w:t>
      </w:r>
      <w:r w:rsidR="005B34B4" w:rsidRPr="002A789B">
        <w:rPr>
          <w:rFonts w:ascii="Arial" w:hAnsi="Arial" w:cs="Arial"/>
        </w:rPr>
        <w:t>. (Matsumura et al 2000, Sho-Ichi et al 2005)</w:t>
      </w:r>
      <w:r w:rsidR="00B24B49" w:rsidRPr="002A789B">
        <w:rPr>
          <w:rFonts w:ascii="Arial" w:hAnsi="Arial" w:cs="Arial"/>
        </w:rPr>
        <w:t>.</w:t>
      </w:r>
    </w:p>
    <w:p w:rsidR="00B24B49" w:rsidRPr="002A789B" w:rsidRDefault="00B24B49" w:rsidP="00F671DA">
      <w:pPr>
        <w:jc w:val="both"/>
        <w:rPr>
          <w:rFonts w:ascii="Arial" w:hAnsi="Arial" w:cs="Arial"/>
        </w:rPr>
      </w:pPr>
    </w:p>
    <w:p w:rsidR="00B24B49" w:rsidRDefault="00B24B49" w:rsidP="002A789B">
      <w:pPr>
        <w:spacing w:line="480" w:lineRule="auto"/>
        <w:jc w:val="both"/>
        <w:rPr>
          <w:rFonts w:ascii="Arial" w:hAnsi="Arial" w:cs="Arial"/>
        </w:rPr>
      </w:pPr>
      <w:r w:rsidRPr="002A789B">
        <w:rPr>
          <w:rFonts w:ascii="Arial" w:hAnsi="Arial" w:cs="Arial"/>
        </w:rPr>
        <w:t>In hyperglycemia elici</w:t>
      </w:r>
      <w:r w:rsidR="005152B6" w:rsidRPr="002A789B">
        <w:rPr>
          <w:rFonts w:ascii="Arial" w:hAnsi="Arial" w:cs="Arial"/>
        </w:rPr>
        <w:t>ted by diabetes, this</w:t>
      </w:r>
      <w:r w:rsidR="00757A2A" w:rsidRPr="002A789B">
        <w:rPr>
          <w:rFonts w:ascii="Arial" w:hAnsi="Arial" w:cs="Arial"/>
        </w:rPr>
        <w:t xml:space="preserve"> process begins with the</w:t>
      </w:r>
      <w:r w:rsidR="00F537E7" w:rsidRPr="002A789B">
        <w:rPr>
          <w:rFonts w:ascii="Arial" w:hAnsi="Arial" w:cs="Arial"/>
        </w:rPr>
        <w:t xml:space="preserve"> conversion of reversible Schiff-base adducts to more stable, covalently bound</w:t>
      </w:r>
      <w:r w:rsidR="00544CC3" w:rsidRPr="002A789B">
        <w:rPr>
          <w:rFonts w:ascii="Arial" w:hAnsi="Arial" w:cs="Arial"/>
        </w:rPr>
        <w:t xml:space="preserve"> Amadori rearrangement products. In course</w:t>
      </w:r>
      <w:r w:rsidR="00787FE8" w:rsidRPr="002A789B">
        <w:rPr>
          <w:rFonts w:ascii="Arial" w:hAnsi="Arial" w:cs="Arial"/>
        </w:rPr>
        <w:t xml:space="preserve"> </w:t>
      </w:r>
      <w:r w:rsidR="000A3522" w:rsidRPr="002A789B">
        <w:rPr>
          <w:rFonts w:ascii="Arial" w:hAnsi="Arial" w:cs="Arial"/>
        </w:rPr>
        <w:t xml:space="preserve">of </w:t>
      </w:r>
      <w:r w:rsidR="00787FE8" w:rsidRPr="002A789B">
        <w:rPr>
          <w:rFonts w:ascii="Arial" w:hAnsi="Arial" w:cs="Arial"/>
        </w:rPr>
        <w:t>few days or weeks</w:t>
      </w:r>
      <w:r w:rsidR="00923BAB" w:rsidRPr="002A789B">
        <w:rPr>
          <w:rFonts w:ascii="Arial" w:hAnsi="Arial" w:cs="Arial"/>
        </w:rPr>
        <w:t>, the Ama</w:t>
      </w:r>
      <w:r w:rsidR="00D5461F" w:rsidRPr="002A789B">
        <w:rPr>
          <w:rFonts w:ascii="Arial" w:hAnsi="Arial" w:cs="Arial"/>
        </w:rPr>
        <w:t>d</w:t>
      </w:r>
      <w:r w:rsidR="00923BAB" w:rsidRPr="002A789B">
        <w:rPr>
          <w:rFonts w:ascii="Arial" w:hAnsi="Arial" w:cs="Arial"/>
        </w:rPr>
        <w:t>ori products undergo further rearrangement reactions to form</w:t>
      </w:r>
      <w:r w:rsidR="00FF1922" w:rsidRPr="002A789B">
        <w:rPr>
          <w:rFonts w:ascii="Arial" w:hAnsi="Arial" w:cs="Arial"/>
        </w:rPr>
        <w:t xml:space="preserve"> the irreversibly bound moieties known as AGEs. It is</w:t>
      </w:r>
      <w:r w:rsidR="001932AD" w:rsidRPr="002A789B">
        <w:rPr>
          <w:rFonts w:ascii="Arial" w:hAnsi="Arial" w:cs="Arial"/>
        </w:rPr>
        <w:t xml:space="preserve"> known that</w:t>
      </w:r>
      <w:r w:rsidR="00E36CDA" w:rsidRPr="002A789B">
        <w:rPr>
          <w:rFonts w:ascii="Arial" w:hAnsi="Arial" w:cs="Arial"/>
        </w:rPr>
        <w:t xml:space="preserve"> AGEs can also be formed from carboxyl compounds derived</w:t>
      </w:r>
      <w:r w:rsidR="00E36E43" w:rsidRPr="002A789B">
        <w:rPr>
          <w:rFonts w:ascii="Arial" w:hAnsi="Arial" w:cs="Arial"/>
        </w:rPr>
        <w:t xml:space="preserve"> from the antioxidation of sugar and other metablolic pathways. In diabetes, the mechanism of</w:t>
      </w:r>
      <w:r w:rsidR="003837F9" w:rsidRPr="002A789B">
        <w:rPr>
          <w:rFonts w:ascii="Arial" w:hAnsi="Arial" w:cs="Arial"/>
        </w:rPr>
        <w:t xml:space="preserve"> glycation is increased due to glycemic stress brought about by the metabolic perturbation produced by the</w:t>
      </w:r>
      <w:r w:rsidR="00D54E4E" w:rsidRPr="002A789B">
        <w:rPr>
          <w:rFonts w:ascii="Arial" w:hAnsi="Arial" w:cs="Arial"/>
        </w:rPr>
        <w:t xml:space="preserve"> diabeteic state. In this study we evaluate plasma</w:t>
      </w:r>
      <w:r w:rsidR="0049633F" w:rsidRPr="002A789B">
        <w:rPr>
          <w:rFonts w:ascii="Arial" w:hAnsi="Arial" w:cs="Arial"/>
        </w:rPr>
        <w:t xml:space="preserve"> glucose and glycated hemoglobin concentration to establish a linear relationship.</w:t>
      </w:r>
    </w:p>
    <w:p w:rsidR="002E3EAD" w:rsidRPr="002A789B" w:rsidRDefault="002E3EAD" w:rsidP="00841D4C">
      <w:pPr>
        <w:jc w:val="both"/>
        <w:rPr>
          <w:rFonts w:ascii="Arial" w:hAnsi="Arial" w:cs="Arial"/>
        </w:rPr>
      </w:pPr>
    </w:p>
    <w:p w:rsidR="0049633F" w:rsidRPr="002A789B" w:rsidRDefault="0049633F" w:rsidP="00F671DA">
      <w:pPr>
        <w:jc w:val="both"/>
        <w:rPr>
          <w:rFonts w:ascii="Arial" w:hAnsi="Arial" w:cs="Arial"/>
        </w:rPr>
      </w:pPr>
    </w:p>
    <w:p w:rsidR="008A336B" w:rsidRDefault="008A336B">
      <w:pPr>
        <w:rPr>
          <w:rFonts w:ascii="Arial" w:hAnsi="Arial" w:cs="Arial"/>
          <w:b/>
          <w:u w:val="single"/>
        </w:rPr>
      </w:pPr>
      <w:r>
        <w:rPr>
          <w:rFonts w:ascii="Arial" w:hAnsi="Arial" w:cs="Arial"/>
          <w:b/>
          <w:u w:val="single"/>
        </w:rPr>
        <w:br w:type="page"/>
      </w:r>
    </w:p>
    <w:p w:rsidR="0049633F" w:rsidRPr="002A789B" w:rsidRDefault="00337D06" w:rsidP="00F671DA">
      <w:pPr>
        <w:jc w:val="both"/>
        <w:rPr>
          <w:rFonts w:ascii="Arial" w:hAnsi="Arial" w:cs="Arial"/>
          <w:b/>
          <w:u w:val="single"/>
        </w:rPr>
      </w:pPr>
      <w:r w:rsidRPr="002A789B">
        <w:rPr>
          <w:rFonts w:ascii="Arial" w:hAnsi="Arial" w:cs="Arial"/>
          <w:b/>
          <w:u w:val="single"/>
        </w:rPr>
        <w:lastRenderedPageBreak/>
        <w:t>RESEARCH DESIGN AND METHOD</w:t>
      </w:r>
    </w:p>
    <w:p w:rsidR="00A87C13" w:rsidRPr="002A789B" w:rsidRDefault="00A87C13" w:rsidP="00F671DA">
      <w:pPr>
        <w:jc w:val="both"/>
        <w:rPr>
          <w:rFonts w:ascii="Arial" w:hAnsi="Arial" w:cs="Arial"/>
          <w:b/>
          <w:u w:val="single"/>
        </w:rPr>
      </w:pPr>
    </w:p>
    <w:p w:rsidR="00337D06" w:rsidRPr="002A789B" w:rsidRDefault="007E71C2" w:rsidP="002E3EAD">
      <w:pPr>
        <w:spacing w:line="480" w:lineRule="auto"/>
        <w:jc w:val="both"/>
        <w:rPr>
          <w:rFonts w:ascii="Arial" w:hAnsi="Arial" w:cs="Arial"/>
        </w:rPr>
      </w:pPr>
      <w:r w:rsidRPr="002A789B">
        <w:rPr>
          <w:rFonts w:ascii="Arial" w:hAnsi="Arial" w:cs="Arial"/>
        </w:rPr>
        <w:t>Wistar albino rats aged (15-20 weeks)</w:t>
      </w:r>
      <w:r w:rsidR="001113BA" w:rsidRPr="002A789B">
        <w:rPr>
          <w:rFonts w:ascii="Arial" w:hAnsi="Arial" w:cs="Arial"/>
        </w:rPr>
        <w:t xml:space="preserve"> derived from a colony</w:t>
      </w:r>
      <w:r w:rsidR="005A0B5A" w:rsidRPr="002A789B">
        <w:rPr>
          <w:rFonts w:ascii="Arial" w:hAnsi="Arial" w:cs="Arial"/>
        </w:rPr>
        <w:t xml:space="preserve"> maintained at the animal house of the Department of Biochemistry, Choba Park, University of Port Harcourt, Rivers State, Nigeria</w:t>
      </w:r>
      <w:r w:rsidR="002B5DA0" w:rsidRPr="002A789B">
        <w:rPr>
          <w:rFonts w:ascii="Arial" w:hAnsi="Arial" w:cs="Arial"/>
        </w:rPr>
        <w:t xml:space="preserve"> were used for</w:t>
      </w:r>
      <w:r w:rsidR="000E130B" w:rsidRPr="002A789B">
        <w:rPr>
          <w:rFonts w:ascii="Arial" w:hAnsi="Arial" w:cs="Arial"/>
        </w:rPr>
        <w:t xml:space="preserve"> the experiment. The rats weighing between 240-300g were housed in cages within a temperature of (25</w:t>
      </w:r>
      <w:r w:rsidR="000E130B" w:rsidRPr="002A789B">
        <w:rPr>
          <w:rFonts w:ascii="Arial" w:hAnsi="Arial" w:cs="Arial"/>
          <w:u w:val="single"/>
        </w:rPr>
        <w:t>+</w:t>
      </w:r>
      <w:r w:rsidR="000E130B" w:rsidRPr="002A789B">
        <w:rPr>
          <w:rFonts w:ascii="Arial" w:hAnsi="Arial" w:cs="Arial"/>
        </w:rPr>
        <w:t>2</w:t>
      </w:r>
      <w:r w:rsidR="000E130B" w:rsidRPr="002A789B">
        <w:rPr>
          <w:rFonts w:ascii="Arial" w:hAnsi="Arial" w:cs="Arial"/>
          <w:vertAlign w:val="superscript"/>
        </w:rPr>
        <w:t>o</w:t>
      </w:r>
      <w:r w:rsidR="000E130B" w:rsidRPr="002A789B">
        <w:rPr>
          <w:rFonts w:ascii="Arial" w:hAnsi="Arial" w:cs="Arial"/>
        </w:rPr>
        <w:t xml:space="preserve">C) and were </w:t>
      </w:r>
      <w:r w:rsidR="00EA1CED" w:rsidRPr="002A789B">
        <w:rPr>
          <w:rFonts w:ascii="Arial" w:hAnsi="Arial" w:cs="Arial"/>
        </w:rPr>
        <w:t>separated into</w:t>
      </w:r>
      <w:r w:rsidR="00655D00" w:rsidRPr="002A789B">
        <w:rPr>
          <w:rFonts w:ascii="Arial" w:hAnsi="Arial" w:cs="Arial"/>
        </w:rPr>
        <w:t xml:space="preserve"> </w:t>
      </w:r>
      <w:r w:rsidR="000E130B" w:rsidRPr="002A789B">
        <w:rPr>
          <w:rFonts w:ascii="Arial" w:hAnsi="Arial" w:cs="Arial"/>
        </w:rPr>
        <w:t>3 groups of 10</w:t>
      </w:r>
      <w:r w:rsidR="00FF4417" w:rsidRPr="002A789B">
        <w:rPr>
          <w:rFonts w:ascii="Arial" w:hAnsi="Arial" w:cs="Arial"/>
        </w:rPr>
        <w:t xml:space="preserve"> rats each.</w:t>
      </w:r>
      <w:r w:rsidR="00113222" w:rsidRPr="002A789B">
        <w:rPr>
          <w:rFonts w:ascii="Arial" w:hAnsi="Arial" w:cs="Arial"/>
        </w:rPr>
        <w:t xml:space="preserve"> Group 1 were controls (Normal rats) injected with equivalent volume of vehicle, group 2 and 3 were induced with 70mg/kg body</w:t>
      </w:r>
      <w:r w:rsidR="009E101A" w:rsidRPr="002A789B">
        <w:rPr>
          <w:rFonts w:ascii="Arial" w:hAnsi="Arial" w:cs="Arial"/>
        </w:rPr>
        <w:t xml:space="preserve"> weight of rat with streptozotocin (Zanosar</w:t>
      </w:r>
      <w:r w:rsidR="00CD5A55" w:rsidRPr="002A789B">
        <w:rPr>
          <w:rFonts w:ascii="Arial" w:hAnsi="Arial" w:cs="Arial"/>
        </w:rPr>
        <w:t>), dissolved in 1m citrate buffer p</w:t>
      </w:r>
      <w:r w:rsidR="00CD5A55" w:rsidRPr="002A789B">
        <w:rPr>
          <w:rFonts w:ascii="Arial" w:hAnsi="Arial" w:cs="Arial"/>
          <w:vertAlign w:val="superscript"/>
        </w:rPr>
        <w:t>H</w:t>
      </w:r>
      <w:r w:rsidR="00CD5A55" w:rsidRPr="002A789B">
        <w:rPr>
          <w:rFonts w:ascii="Arial" w:hAnsi="Arial" w:cs="Arial"/>
        </w:rPr>
        <w:t xml:space="preserve"> 4.5 for 2 days. The animals were consid</w:t>
      </w:r>
      <w:r w:rsidR="00A87C13" w:rsidRPr="002A789B">
        <w:rPr>
          <w:rFonts w:ascii="Arial" w:hAnsi="Arial" w:cs="Arial"/>
        </w:rPr>
        <w:t>e</w:t>
      </w:r>
      <w:r w:rsidR="00CD5A55" w:rsidRPr="002A789B">
        <w:rPr>
          <w:rFonts w:ascii="Arial" w:hAnsi="Arial" w:cs="Arial"/>
        </w:rPr>
        <w:t>red diabetic when the blood glucose</w:t>
      </w:r>
      <w:r w:rsidR="007D0C4E" w:rsidRPr="002A789B">
        <w:rPr>
          <w:rFonts w:ascii="Arial" w:hAnsi="Arial" w:cs="Arial"/>
        </w:rPr>
        <w:t xml:space="preserve"> values exceeded 10 mmol/L 2 weeks after induction. Group 3 animals were subjected to Daonil (gl</w:t>
      </w:r>
      <w:r w:rsidR="00655D00" w:rsidRPr="002A789B">
        <w:rPr>
          <w:rFonts w:ascii="Arial" w:hAnsi="Arial" w:cs="Arial"/>
        </w:rPr>
        <w:t>i</w:t>
      </w:r>
      <w:r w:rsidR="007D0C4E" w:rsidRPr="002A789B">
        <w:rPr>
          <w:rFonts w:ascii="Arial" w:hAnsi="Arial" w:cs="Arial"/>
        </w:rPr>
        <w:t>ben</w:t>
      </w:r>
      <w:r w:rsidR="000D1DF9" w:rsidRPr="002A789B">
        <w:rPr>
          <w:rFonts w:ascii="Arial" w:hAnsi="Arial" w:cs="Arial"/>
        </w:rPr>
        <w:t>cl</w:t>
      </w:r>
      <w:r w:rsidR="007D0C4E" w:rsidRPr="002A789B">
        <w:rPr>
          <w:rFonts w:ascii="Arial" w:hAnsi="Arial" w:cs="Arial"/>
        </w:rPr>
        <w:t>amide) for 16 days</w:t>
      </w:r>
      <w:r w:rsidR="00660C23" w:rsidRPr="002A789B">
        <w:rPr>
          <w:rFonts w:ascii="Arial" w:hAnsi="Arial" w:cs="Arial"/>
        </w:rPr>
        <w:t>.</w:t>
      </w:r>
      <w:r w:rsidR="007D0C4E" w:rsidRPr="002A789B">
        <w:rPr>
          <w:rFonts w:ascii="Arial" w:hAnsi="Arial" w:cs="Arial"/>
        </w:rPr>
        <w:t xml:space="preserve"> HbA1C was measured by using an ion-</w:t>
      </w:r>
      <w:r w:rsidR="00CD2C91" w:rsidRPr="002A789B">
        <w:rPr>
          <w:rFonts w:ascii="Arial" w:hAnsi="Arial" w:cs="Arial"/>
        </w:rPr>
        <w:t>exchange high performance</w:t>
      </w:r>
      <w:r w:rsidR="00370141" w:rsidRPr="002A789B">
        <w:rPr>
          <w:rFonts w:ascii="Arial" w:hAnsi="Arial" w:cs="Arial"/>
        </w:rPr>
        <w:t xml:space="preserve"> liquid chromatography (HpLc-Esi</w:t>
      </w:r>
      <w:r w:rsidR="00BB7030" w:rsidRPr="002A789B">
        <w:rPr>
          <w:rFonts w:ascii="Arial" w:hAnsi="Arial" w:cs="Arial"/>
        </w:rPr>
        <w:t>/ms) approach with µ</w:t>
      </w:r>
      <w:r w:rsidR="0088117E" w:rsidRPr="002A789B">
        <w:rPr>
          <w:rFonts w:ascii="Arial" w:hAnsi="Arial" w:cs="Arial"/>
        </w:rPr>
        <w:t xml:space="preserve">v </w:t>
      </w:r>
      <w:r w:rsidR="00BB7030" w:rsidRPr="002A789B">
        <w:rPr>
          <w:rFonts w:ascii="Arial" w:hAnsi="Arial" w:cs="Arial"/>
        </w:rPr>
        <w:t>detection. Fasting blood glucose was measured using enzymatic oxidation method with glucose oxidase.</w:t>
      </w:r>
    </w:p>
    <w:p w:rsidR="00117ADC" w:rsidRPr="002A789B" w:rsidRDefault="00117ADC" w:rsidP="00F671DA">
      <w:pPr>
        <w:jc w:val="both"/>
        <w:rPr>
          <w:rFonts w:ascii="Arial" w:hAnsi="Arial" w:cs="Arial"/>
        </w:rPr>
      </w:pPr>
    </w:p>
    <w:p w:rsidR="00117ADC" w:rsidRPr="002A789B" w:rsidRDefault="00117ADC" w:rsidP="002E3EAD">
      <w:pPr>
        <w:spacing w:line="480" w:lineRule="auto"/>
        <w:jc w:val="both"/>
        <w:rPr>
          <w:rFonts w:ascii="Arial" w:hAnsi="Arial" w:cs="Arial"/>
        </w:rPr>
      </w:pPr>
      <w:r w:rsidRPr="002A789B">
        <w:rPr>
          <w:rFonts w:ascii="Arial" w:hAnsi="Arial" w:cs="Arial"/>
        </w:rPr>
        <w:t>This study was approved by the Research Ethics Committee of the College of Health Science, University of Port Harcourt, Rivers State, Nigeria.</w:t>
      </w:r>
    </w:p>
    <w:p w:rsidR="00117ADC" w:rsidRDefault="00117ADC" w:rsidP="00F671DA">
      <w:pPr>
        <w:jc w:val="both"/>
        <w:rPr>
          <w:rFonts w:ascii="Arial" w:hAnsi="Arial" w:cs="Arial"/>
        </w:rPr>
      </w:pPr>
    </w:p>
    <w:p w:rsidR="005F3A7D" w:rsidRDefault="005F3A7D" w:rsidP="00F671DA">
      <w:pPr>
        <w:jc w:val="both"/>
        <w:rPr>
          <w:rFonts w:ascii="Arial" w:hAnsi="Arial" w:cs="Arial"/>
        </w:rPr>
      </w:pPr>
    </w:p>
    <w:p w:rsidR="005F3A7D" w:rsidRDefault="005F3A7D" w:rsidP="00F671DA">
      <w:pPr>
        <w:jc w:val="both"/>
        <w:rPr>
          <w:rFonts w:ascii="Arial" w:hAnsi="Arial" w:cs="Arial"/>
        </w:rPr>
      </w:pPr>
    </w:p>
    <w:p w:rsidR="005F3A7D" w:rsidRDefault="005F3A7D" w:rsidP="00F671DA">
      <w:pPr>
        <w:jc w:val="both"/>
        <w:rPr>
          <w:rFonts w:ascii="Arial" w:hAnsi="Arial" w:cs="Arial"/>
        </w:rPr>
      </w:pPr>
    </w:p>
    <w:p w:rsidR="005F3A7D" w:rsidRPr="002A789B" w:rsidRDefault="005F3A7D" w:rsidP="00F671DA">
      <w:pPr>
        <w:jc w:val="both"/>
        <w:rPr>
          <w:rFonts w:ascii="Arial" w:hAnsi="Arial" w:cs="Arial"/>
        </w:rPr>
      </w:pPr>
    </w:p>
    <w:p w:rsidR="008A336B" w:rsidRDefault="008A336B">
      <w:pPr>
        <w:rPr>
          <w:rFonts w:ascii="Arial" w:hAnsi="Arial" w:cs="Arial"/>
          <w:b/>
          <w:u w:val="single"/>
        </w:rPr>
      </w:pPr>
      <w:r>
        <w:rPr>
          <w:rFonts w:ascii="Arial" w:hAnsi="Arial" w:cs="Arial"/>
          <w:b/>
          <w:u w:val="single"/>
        </w:rPr>
        <w:br w:type="page"/>
      </w:r>
    </w:p>
    <w:p w:rsidR="00117ADC" w:rsidRPr="002A789B" w:rsidRDefault="00117ADC" w:rsidP="00F671DA">
      <w:pPr>
        <w:jc w:val="both"/>
        <w:rPr>
          <w:rFonts w:ascii="Arial" w:hAnsi="Arial" w:cs="Arial"/>
          <w:b/>
          <w:u w:val="single"/>
        </w:rPr>
      </w:pPr>
      <w:r w:rsidRPr="002A789B">
        <w:rPr>
          <w:rFonts w:ascii="Arial" w:hAnsi="Arial" w:cs="Arial"/>
          <w:b/>
          <w:u w:val="single"/>
        </w:rPr>
        <w:lastRenderedPageBreak/>
        <w:t>RESULT</w:t>
      </w:r>
    </w:p>
    <w:p w:rsidR="00582194" w:rsidRPr="002A789B" w:rsidRDefault="00582194" w:rsidP="00F671DA">
      <w:pPr>
        <w:jc w:val="both"/>
        <w:rPr>
          <w:rFonts w:ascii="Arial" w:hAnsi="Arial" w:cs="Arial"/>
          <w:b/>
          <w:u w:val="single"/>
        </w:rPr>
      </w:pPr>
    </w:p>
    <w:p w:rsidR="00582194" w:rsidRPr="002A789B" w:rsidRDefault="00582194" w:rsidP="00F671DA">
      <w:pPr>
        <w:jc w:val="both"/>
        <w:rPr>
          <w:rFonts w:ascii="Arial" w:hAnsi="Arial" w:cs="Arial"/>
        </w:rPr>
      </w:pPr>
    </w:p>
    <w:p w:rsidR="00582194" w:rsidRPr="002A789B" w:rsidRDefault="00582194" w:rsidP="002E3EAD">
      <w:pPr>
        <w:spacing w:line="480" w:lineRule="auto"/>
        <w:jc w:val="both"/>
        <w:rPr>
          <w:rFonts w:ascii="Arial" w:hAnsi="Arial" w:cs="Arial"/>
        </w:rPr>
      </w:pPr>
      <w:r w:rsidRPr="002A789B">
        <w:rPr>
          <w:rFonts w:ascii="Arial" w:hAnsi="Arial" w:cs="Arial"/>
        </w:rPr>
        <w:t>Tables 1 and 2 show assay values for plasma fasting blood glucose (FBG) and glycated h</w:t>
      </w:r>
      <w:r w:rsidR="00AF3844">
        <w:rPr>
          <w:rFonts w:ascii="Arial" w:hAnsi="Arial" w:cs="Arial"/>
        </w:rPr>
        <w:t>a</w:t>
      </w:r>
      <w:r w:rsidRPr="002A789B">
        <w:rPr>
          <w:rFonts w:ascii="Arial" w:hAnsi="Arial" w:cs="Arial"/>
        </w:rPr>
        <w:t>emoglobin respectively for control</w:t>
      </w:r>
      <w:r w:rsidR="00C9248D" w:rsidRPr="002A789B">
        <w:rPr>
          <w:rFonts w:ascii="Arial" w:hAnsi="Arial" w:cs="Arial"/>
        </w:rPr>
        <w:t>,</w:t>
      </w:r>
      <w:r w:rsidRPr="002A789B">
        <w:rPr>
          <w:rFonts w:ascii="Arial" w:hAnsi="Arial" w:cs="Arial"/>
        </w:rPr>
        <w:t xml:space="preserve"> Diabetic test rats </w:t>
      </w:r>
      <w:r w:rsidR="00C9248D" w:rsidRPr="002A789B">
        <w:rPr>
          <w:rFonts w:ascii="Arial" w:hAnsi="Arial" w:cs="Arial"/>
        </w:rPr>
        <w:t xml:space="preserve">and rats </w:t>
      </w:r>
      <w:r w:rsidRPr="002A789B">
        <w:rPr>
          <w:rFonts w:ascii="Arial" w:hAnsi="Arial" w:cs="Arial"/>
        </w:rPr>
        <w:t>treated with Daonil.</w:t>
      </w:r>
    </w:p>
    <w:p w:rsidR="00FA54E1" w:rsidRPr="002A789B" w:rsidRDefault="00582194" w:rsidP="002E3EAD">
      <w:pPr>
        <w:spacing w:line="480" w:lineRule="auto"/>
        <w:jc w:val="both"/>
        <w:rPr>
          <w:rFonts w:ascii="Arial" w:hAnsi="Arial" w:cs="Arial"/>
        </w:rPr>
      </w:pPr>
      <w:r w:rsidRPr="002A789B">
        <w:rPr>
          <w:rFonts w:ascii="Arial" w:hAnsi="Arial" w:cs="Arial"/>
        </w:rPr>
        <w:t xml:space="preserve">Fig 1 is a plot of individuals according to their HbA1C and fasting plasma glucose values. HbA1C and fasting plasma glucose </w:t>
      </w:r>
      <w:r w:rsidR="004B20B1" w:rsidRPr="002A789B">
        <w:rPr>
          <w:rFonts w:ascii="Arial" w:hAnsi="Arial" w:cs="Arial"/>
        </w:rPr>
        <w:t>we</w:t>
      </w:r>
      <w:r w:rsidRPr="002A789B">
        <w:rPr>
          <w:rFonts w:ascii="Arial" w:hAnsi="Arial" w:cs="Arial"/>
        </w:rPr>
        <w:t>re linearly related and the linear regression line had a correlation coe</w:t>
      </w:r>
      <w:r w:rsidR="009F74EA" w:rsidRPr="002A789B">
        <w:rPr>
          <w:rFonts w:ascii="Arial" w:hAnsi="Arial" w:cs="Arial"/>
        </w:rPr>
        <w:t>f</w:t>
      </w:r>
      <w:r w:rsidRPr="002A789B">
        <w:rPr>
          <w:rFonts w:ascii="Arial" w:hAnsi="Arial" w:cs="Arial"/>
        </w:rPr>
        <w:t xml:space="preserve">ficient </w:t>
      </w:r>
      <w:r w:rsidR="00E47C02" w:rsidRPr="002A789B">
        <w:rPr>
          <w:rFonts w:ascii="Arial" w:hAnsi="Arial" w:cs="Arial"/>
        </w:rPr>
        <w:t>of r=0.69 significant at 0.01 level</w:t>
      </w:r>
      <w:r w:rsidR="00EB2A15" w:rsidRPr="002A789B">
        <w:rPr>
          <w:rFonts w:ascii="Arial" w:hAnsi="Arial" w:cs="Arial"/>
        </w:rPr>
        <w:t xml:space="preserve"> (r=0.69, p&lt;0.01)</w:t>
      </w:r>
      <w:r w:rsidRPr="002A789B">
        <w:rPr>
          <w:rFonts w:ascii="Arial" w:hAnsi="Arial" w:cs="Arial"/>
        </w:rPr>
        <w:t xml:space="preserve"> while glucose</w:t>
      </w:r>
      <w:r w:rsidR="0013149D" w:rsidRPr="002A789B">
        <w:rPr>
          <w:rFonts w:ascii="Arial" w:hAnsi="Arial" w:cs="Arial"/>
        </w:rPr>
        <w:t xml:space="preserve"> and HbA1C levels for the co</w:t>
      </w:r>
      <w:r w:rsidR="00FA54E1" w:rsidRPr="002A789B">
        <w:rPr>
          <w:rFonts w:ascii="Arial" w:hAnsi="Arial" w:cs="Arial"/>
        </w:rPr>
        <w:t>ntrols were stable</w:t>
      </w:r>
      <w:r w:rsidR="00A41F8B" w:rsidRPr="002A789B">
        <w:rPr>
          <w:rFonts w:ascii="Arial" w:hAnsi="Arial" w:cs="Arial"/>
        </w:rPr>
        <w:t>,</w:t>
      </w:r>
      <w:r w:rsidR="00FA54E1" w:rsidRPr="002A789B">
        <w:rPr>
          <w:rFonts w:ascii="Arial" w:hAnsi="Arial" w:cs="Arial"/>
        </w:rPr>
        <w:t xml:space="preserve"> </w:t>
      </w:r>
      <w:r w:rsidR="00A41F8B" w:rsidRPr="002A789B">
        <w:rPr>
          <w:rFonts w:ascii="Arial" w:hAnsi="Arial" w:cs="Arial"/>
        </w:rPr>
        <w:t>t</w:t>
      </w:r>
      <w:r w:rsidR="00FA54E1" w:rsidRPr="002A789B">
        <w:rPr>
          <w:rFonts w:ascii="Arial" w:hAnsi="Arial" w:cs="Arial"/>
        </w:rPr>
        <w:t>here was</w:t>
      </w:r>
      <w:r w:rsidR="00A41F8B" w:rsidRPr="002A789B">
        <w:rPr>
          <w:rFonts w:ascii="Arial" w:hAnsi="Arial" w:cs="Arial"/>
        </w:rPr>
        <w:t xml:space="preserve"> marked</w:t>
      </w:r>
      <w:r w:rsidR="0090458E" w:rsidRPr="002A789B">
        <w:rPr>
          <w:rFonts w:ascii="Arial" w:hAnsi="Arial" w:cs="Arial"/>
        </w:rPr>
        <w:t xml:space="preserve"> </w:t>
      </w:r>
      <w:r w:rsidR="0013149D" w:rsidRPr="002A789B">
        <w:rPr>
          <w:rFonts w:ascii="Arial" w:hAnsi="Arial" w:cs="Arial"/>
        </w:rPr>
        <w:t>elevation for the diabetic test rats.</w:t>
      </w:r>
    </w:p>
    <w:p w:rsidR="00FA54E1" w:rsidRPr="002A789B" w:rsidRDefault="00FA54E1" w:rsidP="009F74EA">
      <w:pPr>
        <w:spacing w:line="360" w:lineRule="auto"/>
        <w:jc w:val="both"/>
        <w:rPr>
          <w:rFonts w:ascii="Arial" w:hAnsi="Arial" w:cs="Arial"/>
        </w:rPr>
      </w:pPr>
    </w:p>
    <w:p w:rsidR="00FA54E1" w:rsidRPr="002A789B" w:rsidRDefault="00FA54E1" w:rsidP="00FA54E1">
      <w:pPr>
        <w:rPr>
          <w:rFonts w:ascii="Arial" w:hAnsi="Arial" w:cs="Arial"/>
          <w:b/>
        </w:rPr>
      </w:pPr>
      <w:r w:rsidRPr="002A789B">
        <w:rPr>
          <w:rFonts w:ascii="Arial" w:hAnsi="Arial" w:cs="Arial"/>
          <w:b/>
        </w:rPr>
        <w:t xml:space="preserve">Table 1: Fasting plasma glucose </w:t>
      </w:r>
      <w:r w:rsidR="009E0358">
        <w:rPr>
          <w:rFonts w:ascii="Arial" w:hAnsi="Arial" w:cs="Arial"/>
          <w:b/>
        </w:rPr>
        <w:t>(</w:t>
      </w:r>
      <w:r w:rsidRPr="002A789B">
        <w:rPr>
          <w:rFonts w:ascii="Arial" w:hAnsi="Arial" w:cs="Arial"/>
          <w:b/>
        </w:rPr>
        <w:t>FPG) mmol/l assay values for the different groups</w:t>
      </w:r>
    </w:p>
    <w:p w:rsidR="00FA54E1" w:rsidRPr="002A789B" w:rsidRDefault="00FA54E1" w:rsidP="00FA54E1">
      <w:pPr>
        <w:rPr>
          <w:rFonts w:ascii="Arial" w:hAnsi="Arial" w:cs="Arial"/>
          <w:b/>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2281"/>
        <w:gridCol w:w="2606"/>
        <w:gridCol w:w="2457"/>
      </w:tblGrid>
      <w:tr w:rsidR="002A789B" w:rsidRPr="002A789B" w:rsidTr="000B59C5">
        <w:tc>
          <w:tcPr>
            <w:tcW w:w="1533" w:type="dxa"/>
            <w:vAlign w:val="center"/>
          </w:tcPr>
          <w:p w:rsidR="00FA54E1" w:rsidRPr="002A789B" w:rsidRDefault="00FA54E1" w:rsidP="000B59C5">
            <w:pPr>
              <w:jc w:val="center"/>
              <w:rPr>
                <w:rFonts w:ascii="Arial" w:hAnsi="Arial" w:cs="Arial"/>
                <w:b/>
              </w:rPr>
            </w:pPr>
            <w:r w:rsidRPr="002A789B">
              <w:rPr>
                <w:rFonts w:ascii="Arial" w:hAnsi="Arial" w:cs="Arial"/>
                <w:b/>
              </w:rPr>
              <w:t>Day</w:t>
            </w:r>
          </w:p>
        </w:tc>
        <w:tc>
          <w:tcPr>
            <w:tcW w:w="2281" w:type="dxa"/>
            <w:vAlign w:val="center"/>
          </w:tcPr>
          <w:p w:rsidR="00FA54E1" w:rsidRPr="002A789B" w:rsidRDefault="00FA54E1" w:rsidP="000B59C5">
            <w:pPr>
              <w:jc w:val="center"/>
              <w:rPr>
                <w:rFonts w:ascii="Arial" w:hAnsi="Arial" w:cs="Arial"/>
                <w:b/>
              </w:rPr>
            </w:pPr>
            <w:r w:rsidRPr="002A789B">
              <w:rPr>
                <w:rFonts w:ascii="Arial" w:hAnsi="Arial" w:cs="Arial"/>
                <w:b/>
              </w:rPr>
              <w:t>Control</w:t>
            </w:r>
          </w:p>
        </w:tc>
        <w:tc>
          <w:tcPr>
            <w:tcW w:w="2606" w:type="dxa"/>
            <w:vAlign w:val="center"/>
          </w:tcPr>
          <w:p w:rsidR="00FA54E1" w:rsidRPr="002A789B" w:rsidRDefault="00FA54E1" w:rsidP="000B59C5">
            <w:pPr>
              <w:jc w:val="center"/>
              <w:rPr>
                <w:rFonts w:ascii="Arial" w:hAnsi="Arial" w:cs="Arial"/>
                <w:b/>
              </w:rPr>
            </w:pPr>
            <w:r w:rsidRPr="002A789B">
              <w:rPr>
                <w:rFonts w:ascii="Arial" w:hAnsi="Arial" w:cs="Arial"/>
                <w:b/>
              </w:rPr>
              <w:t>Diabetic control rats</w:t>
            </w:r>
          </w:p>
        </w:tc>
        <w:tc>
          <w:tcPr>
            <w:tcW w:w="2457" w:type="dxa"/>
            <w:vAlign w:val="center"/>
          </w:tcPr>
          <w:p w:rsidR="00FA54E1" w:rsidRPr="002A789B" w:rsidRDefault="00FA54E1" w:rsidP="000B59C5">
            <w:pPr>
              <w:jc w:val="center"/>
              <w:rPr>
                <w:rFonts w:ascii="Arial" w:hAnsi="Arial" w:cs="Arial"/>
                <w:b/>
              </w:rPr>
            </w:pPr>
            <w:r w:rsidRPr="002A789B">
              <w:rPr>
                <w:rFonts w:ascii="Arial" w:hAnsi="Arial" w:cs="Arial"/>
                <w:b/>
              </w:rPr>
              <w:t>DTR on Daonil</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0</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4.6</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a</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10.3</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b</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18.3</w:t>
            </w:r>
            <w:r w:rsidRPr="002A789B">
              <w:rPr>
                <w:rFonts w:ascii="Arial" w:hAnsi="Arial" w:cs="Arial"/>
                <w:u w:val="single"/>
              </w:rPr>
              <w:t>+</w:t>
            </w:r>
            <w:r w:rsidRPr="002A789B">
              <w:rPr>
                <w:rFonts w:ascii="Arial" w:hAnsi="Arial" w:cs="Arial"/>
              </w:rPr>
              <w:t>0.06</w:t>
            </w:r>
            <w:r w:rsidRPr="002A789B">
              <w:rPr>
                <w:rFonts w:ascii="Arial" w:hAnsi="Arial" w:cs="Arial"/>
                <w:vertAlign w:val="superscript"/>
              </w:rPr>
              <w:t>c</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2</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4.7</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d</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10.7</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a</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16.1</w:t>
            </w:r>
            <w:r w:rsidRPr="002A789B">
              <w:rPr>
                <w:rFonts w:ascii="Arial" w:hAnsi="Arial" w:cs="Arial"/>
                <w:u w:val="single"/>
              </w:rPr>
              <w:t>+</w:t>
            </w:r>
            <w:r w:rsidRPr="002A789B">
              <w:rPr>
                <w:rFonts w:ascii="Arial" w:hAnsi="Arial" w:cs="Arial"/>
              </w:rPr>
              <w:t>0.11</w:t>
            </w:r>
            <w:r w:rsidRPr="002A789B">
              <w:rPr>
                <w:rFonts w:ascii="Arial" w:hAnsi="Arial" w:cs="Arial"/>
                <w:vertAlign w:val="superscript"/>
              </w:rPr>
              <w:t>f</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4</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 xml:space="preserve">4.4 </w:t>
            </w:r>
            <w:r w:rsidRPr="002A789B">
              <w:rPr>
                <w:rFonts w:ascii="Arial" w:hAnsi="Arial" w:cs="Arial"/>
                <w:u w:val="single"/>
              </w:rPr>
              <w:t>+</w:t>
            </w:r>
            <w:r w:rsidRPr="002A789B">
              <w:rPr>
                <w:rFonts w:ascii="Arial" w:hAnsi="Arial" w:cs="Arial"/>
              </w:rPr>
              <w:t xml:space="preserve"> 0.03</w:t>
            </w:r>
            <w:r w:rsidRPr="002A789B">
              <w:rPr>
                <w:rFonts w:ascii="Arial" w:hAnsi="Arial" w:cs="Arial"/>
                <w:vertAlign w:val="superscript"/>
              </w:rPr>
              <w:t>s</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11.4</w:t>
            </w:r>
            <w:r w:rsidRPr="002A789B">
              <w:rPr>
                <w:rFonts w:ascii="Arial" w:hAnsi="Arial" w:cs="Arial"/>
                <w:u w:val="single"/>
              </w:rPr>
              <w:t>+</w:t>
            </w:r>
            <w:r w:rsidRPr="002A789B">
              <w:rPr>
                <w:rFonts w:ascii="Arial" w:hAnsi="Arial" w:cs="Arial"/>
              </w:rPr>
              <w:t>0.00</w:t>
            </w:r>
            <w:r w:rsidRPr="002A789B">
              <w:rPr>
                <w:rFonts w:ascii="Arial" w:hAnsi="Arial" w:cs="Arial"/>
                <w:vertAlign w:val="superscript"/>
              </w:rPr>
              <w:t>b</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14.2</w:t>
            </w:r>
            <w:r w:rsidRPr="002A789B">
              <w:rPr>
                <w:rFonts w:ascii="Arial" w:hAnsi="Arial" w:cs="Arial"/>
                <w:u w:val="single"/>
              </w:rPr>
              <w:t>+</w:t>
            </w:r>
            <w:r w:rsidRPr="002A789B">
              <w:rPr>
                <w:rFonts w:ascii="Arial" w:hAnsi="Arial" w:cs="Arial"/>
              </w:rPr>
              <w:t>0.11</w:t>
            </w:r>
            <w:r w:rsidRPr="002A789B">
              <w:rPr>
                <w:rFonts w:ascii="Arial" w:hAnsi="Arial" w:cs="Arial"/>
                <w:vertAlign w:val="superscript"/>
              </w:rPr>
              <w:t>i</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6</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4.5</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j</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13.3</w:t>
            </w:r>
            <w:r w:rsidRPr="002A789B">
              <w:rPr>
                <w:rFonts w:ascii="Arial" w:hAnsi="Arial" w:cs="Arial"/>
                <w:u w:val="single"/>
              </w:rPr>
              <w:t>+</w:t>
            </w:r>
            <w:r w:rsidRPr="002A789B">
              <w:rPr>
                <w:rFonts w:ascii="Arial" w:hAnsi="Arial" w:cs="Arial"/>
              </w:rPr>
              <w:t>0.08</w:t>
            </w:r>
            <w:r w:rsidRPr="002A789B">
              <w:rPr>
                <w:rFonts w:ascii="Arial" w:hAnsi="Arial" w:cs="Arial"/>
                <w:vertAlign w:val="superscript"/>
              </w:rPr>
              <w:t>k</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12.0</w:t>
            </w:r>
            <w:r w:rsidRPr="002A789B">
              <w:rPr>
                <w:rFonts w:ascii="Arial" w:hAnsi="Arial" w:cs="Arial"/>
                <w:u w:val="single"/>
              </w:rPr>
              <w:t>+</w:t>
            </w:r>
            <w:r w:rsidRPr="002A789B">
              <w:rPr>
                <w:rFonts w:ascii="Arial" w:hAnsi="Arial" w:cs="Arial"/>
              </w:rPr>
              <w:t>0.15</w:t>
            </w:r>
            <w:r w:rsidRPr="002A789B">
              <w:rPr>
                <w:rFonts w:ascii="Arial" w:hAnsi="Arial" w:cs="Arial"/>
                <w:vertAlign w:val="superscript"/>
              </w:rPr>
              <w:t>k</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8</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4.7</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l</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15.5</w:t>
            </w:r>
            <w:r w:rsidRPr="002A789B">
              <w:rPr>
                <w:rFonts w:ascii="Arial" w:hAnsi="Arial" w:cs="Arial"/>
                <w:u w:val="single"/>
              </w:rPr>
              <w:t>+</w:t>
            </w:r>
            <w:r w:rsidRPr="002A789B">
              <w:rPr>
                <w:rFonts w:ascii="Arial" w:hAnsi="Arial" w:cs="Arial"/>
              </w:rPr>
              <w:t>0.05</w:t>
            </w:r>
            <w:r w:rsidRPr="002A789B">
              <w:rPr>
                <w:rFonts w:ascii="Arial" w:hAnsi="Arial" w:cs="Arial"/>
                <w:vertAlign w:val="superscript"/>
              </w:rPr>
              <w:t>z</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10.0</w:t>
            </w:r>
            <w:r w:rsidRPr="002A789B">
              <w:rPr>
                <w:rFonts w:ascii="Arial" w:hAnsi="Arial" w:cs="Arial"/>
                <w:u w:val="single"/>
              </w:rPr>
              <w:t>+</w:t>
            </w:r>
            <w:r w:rsidRPr="002A789B">
              <w:rPr>
                <w:rFonts w:ascii="Arial" w:hAnsi="Arial" w:cs="Arial"/>
              </w:rPr>
              <w:t>0.22</w:t>
            </w:r>
            <w:r w:rsidRPr="002A789B">
              <w:rPr>
                <w:rFonts w:ascii="Arial" w:hAnsi="Arial" w:cs="Arial"/>
                <w:vertAlign w:val="superscript"/>
              </w:rPr>
              <w:t>m</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10</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5.1</w:t>
            </w:r>
            <w:r w:rsidRPr="002A789B">
              <w:rPr>
                <w:rFonts w:ascii="Arial" w:hAnsi="Arial" w:cs="Arial"/>
                <w:u w:val="single"/>
              </w:rPr>
              <w:t>+</w:t>
            </w:r>
            <w:r w:rsidRPr="002A789B">
              <w:rPr>
                <w:rFonts w:ascii="Arial" w:hAnsi="Arial" w:cs="Arial"/>
              </w:rPr>
              <w:t>0.08</w:t>
            </w:r>
            <w:r w:rsidRPr="002A789B">
              <w:rPr>
                <w:rFonts w:ascii="Arial" w:hAnsi="Arial" w:cs="Arial"/>
                <w:vertAlign w:val="superscript"/>
              </w:rPr>
              <w:t>n</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16.4</w:t>
            </w:r>
            <w:r w:rsidRPr="002A789B">
              <w:rPr>
                <w:rFonts w:ascii="Arial" w:hAnsi="Arial" w:cs="Arial"/>
                <w:u w:val="single"/>
              </w:rPr>
              <w:t>+</w:t>
            </w:r>
            <w:r w:rsidRPr="002A789B">
              <w:rPr>
                <w:rFonts w:ascii="Arial" w:hAnsi="Arial" w:cs="Arial"/>
              </w:rPr>
              <w:t>0.11</w:t>
            </w:r>
            <w:r w:rsidRPr="002A789B">
              <w:rPr>
                <w:rFonts w:ascii="Arial" w:hAnsi="Arial" w:cs="Arial"/>
                <w:vertAlign w:val="superscript"/>
              </w:rPr>
              <w:t>q</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9.3</w:t>
            </w:r>
            <w:r w:rsidRPr="002A789B">
              <w:rPr>
                <w:rFonts w:ascii="Arial" w:hAnsi="Arial" w:cs="Arial"/>
                <w:u w:val="single"/>
              </w:rPr>
              <w:t>+</w:t>
            </w:r>
            <w:r w:rsidRPr="002A789B">
              <w:rPr>
                <w:rFonts w:ascii="Arial" w:hAnsi="Arial" w:cs="Arial"/>
              </w:rPr>
              <w:t>0.24</w:t>
            </w:r>
            <w:r w:rsidRPr="002A789B">
              <w:rPr>
                <w:rFonts w:ascii="Arial" w:hAnsi="Arial" w:cs="Arial"/>
                <w:vertAlign w:val="superscript"/>
              </w:rPr>
              <w:t>v</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12</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5.3</w:t>
            </w:r>
            <w:r w:rsidRPr="002A789B">
              <w:rPr>
                <w:rFonts w:ascii="Arial" w:hAnsi="Arial" w:cs="Arial"/>
                <w:u w:val="single"/>
              </w:rPr>
              <w:t>+</w:t>
            </w:r>
            <w:r w:rsidRPr="002A789B">
              <w:rPr>
                <w:rFonts w:ascii="Arial" w:hAnsi="Arial" w:cs="Arial"/>
              </w:rPr>
              <w:t>0.08</w:t>
            </w:r>
            <w:r w:rsidRPr="002A789B">
              <w:rPr>
                <w:rFonts w:ascii="Arial" w:hAnsi="Arial" w:cs="Arial"/>
                <w:vertAlign w:val="superscript"/>
              </w:rPr>
              <w:t>s</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18.2</w:t>
            </w:r>
            <w:r w:rsidRPr="002A789B">
              <w:rPr>
                <w:rFonts w:ascii="Arial" w:hAnsi="Arial" w:cs="Arial"/>
                <w:u w:val="single"/>
              </w:rPr>
              <w:t>+</w:t>
            </w:r>
            <w:r w:rsidRPr="002A789B">
              <w:rPr>
                <w:rFonts w:ascii="Arial" w:hAnsi="Arial" w:cs="Arial"/>
              </w:rPr>
              <w:t>0.08</w:t>
            </w:r>
            <w:r w:rsidRPr="002A789B">
              <w:rPr>
                <w:rFonts w:ascii="Arial" w:hAnsi="Arial" w:cs="Arial"/>
                <w:vertAlign w:val="superscript"/>
              </w:rPr>
              <w:t>t</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7.0</w:t>
            </w:r>
            <w:r w:rsidRPr="002A789B">
              <w:rPr>
                <w:rFonts w:ascii="Arial" w:hAnsi="Arial" w:cs="Arial"/>
                <w:u w:val="single"/>
              </w:rPr>
              <w:t>+</w:t>
            </w:r>
            <w:r w:rsidRPr="002A789B">
              <w:rPr>
                <w:rFonts w:ascii="Arial" w:hAnsi="Arial" w:cs="Arial"/>
              </w:rPr>
              <w:t>0.27</w:t>
            </w:r>
            <w:r w:rsidRPr="002A789B">
              <w:rPr>
                <w:rFonts w:ascii="Arial" w:hAnsi="Arial" w:cs="Arial"/>
                <w:vertAlign w:val="superscript"/>
              </w:rPr>
              <w:t>u</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14</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4.6</w:t>
            </w:r>
            <w:r w:rsidRPr="002A789B">
              <w:rPr>
                <w:rFonts w:ascii="Arial" w:hAnsi="Arial" w:cs="Arial"/>
                <w:u w:val="single"/>
              </w:rPr>
              <w:t>+</w:t>
            </w:r>
            <w:r w:rsidRPr="002A789B">
              <w:rPr>
                <w:rFonts w:ascii="Arial" w:hAnsi="Arial" w:cs="Arial"/>
              </w:rPr>
              <w:t>0.12</w:t>
            </w:r>
            <w:r w:rsidRPr="002A789B">
              <w:rPr>
                <w:rFonts w:ascii="Arial" w:hAnsi="Arial" w:cs="Arial"/>
                <w:vertAlign w:val="superscript"/>
              </w:rPr>
              <w:t>v</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22.3</w:t>
            </w:r>
            <w:r w:rsidRPr="002A789B">
              <w:rPr>
                <w:rFonts w:ascii="Arial" w:hAnsi="Arial" w:cs="Arial"/>
                <w:u w:val="single"/>
              </w:rPr>
              <w:t>+</w:t>
            </w:r>
            <w:r w:rsidRPr="002A789B">
              <w:rPr>
                <w:rFonts w:ascii="Arial" w:hAnsi="Arial" w:cs="Arial"/>
              </w:rPr>
              <w:t>0.08</w:t>
            </w:r>
            <w:r w:rsidRPr="002A789B">
              <w:rPr>
                <w:rFonts w:ascii="Arial" w:hAnsi="Arial" w:cs="Arial"/>
                <w:vertAlign w:val="superscript"/>
              </w:rPr>
              <w:t>v</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5.2</w:t>
            </w:r>
            <w:r w:rsidRPr="002A789B">
              <w:rPr>
                <w:rFonts w:ascii="Arial" w:hAnsi="Arial" w:cs="Arial"/>
                <w:u w:val="single"/>
              </w:rPr>
              <w:t>+</w:t>
            </w:r>
            <w:r w:rsidRPr="002A789B">
              <w:rPr>
                <w:rFonts w:ascii="Arial" w:hAnsi="Arial" w:cs="Arial"/>
              </w:rPr>
              <w:t>0.11</w:t>
            </w:r>
            <w:r w:rsidRPr="002A789B">
              <w:rPr>
                <w:rFonts w:ascii="Arial" w:hAnsi="Arial" w:cs="Arial"/>
                <w:vertAlign w:val="superscript"/>
              </w:rPr>
              <w:t>x</w:t>
            </w:r>
          </w:p>
        </w:tc>
      </w:tr>
      <w:tr w:rsidR="002A789B" w:rsidRPr="002A789B" w:rsidTr="000B59C5">
        <w:tc>
          <w:tcPr>
            <w:tcW w:w="1533" w:type="dxa"/>
            <w:vAlign w:val="center"/>
          </w:tcPr>
          <w:p w:rsidR="00FA54E1" w:rsidRPr="002A789B" w:rsidRDefault="00FA54E1" w:rsidP="000B59C5">
            <w:pPr>
              <w:spacing w:line="480" w:lineRule="auto"/>
              <w:jc w:val="center"/>
              <w:rPr>
                <w:rFonts w:ascii="Arial" w:hAnsi="Arial" w:cs="Arial"/>
              </w:rPr>
            </w:pPr>
            <w:r w:rsidRPr="002A789B">
              <w:rPr>
                <w:rFonts w:ascii="Arial" w:hAnsi="Arial" w:cs="Arial"/>
              </w:rPr>
              <w:t>16</w:t>
            </w:r>
          </w:p>
        </w:tc>
        <w:tc>
          <w:tcPr>
            <w:tcW w:w="2281" w:type="dxa"/>
            <w:vAlign w:val="center"/>
          </w:tcPr>
          <w:p w:rsidR="00FA54E1" w:rsidRPr="002A789B" w:rsidRDefault="00FA54E1" w:rsidP="000B59C5">
            <w:pPr>
              <w:jc w:val="center"/>
              <w:rPr>
                <w:rFonts w:ascii="Arial" w:hAnsi="Arial" w:cs="Arial"/>
              </w:rPr>
            </w:pPr>
            <w:r w:rsidRPr="002A789B">
              <w:rPr>
                <w:rFonts w:ascii="Arial" w:hAnsi="Arial" w:cs="Arial"/>
              </w:rPr>
              <w:t>4.7</w:t>
            </w:r>
            <w:r w:rsidRPr="002A789B">
              <w:rPr>
                <w:rFonts w:ascii="Arial" w:hAnsi="Arial" w:cs="Arial"/>
                <w:u w:val="single"/>
              </w:rPr>
              <w:t>+</w:t>
            </w:r>
            <w:r w:rsidRPr="002A789B">
              <w:rPr>
                <w:rFonts w:ascii="Arial" w:hAnsi="Arial" w:cs="Arial"/>
              </w:rPr>
              <w:t>0.08</w:t>
            </w:r>
            <w:r w:rsidRPr="002A789B">
              <w:rPr>
                <w:rFonts w:ascii="Arial" w:hAnsi="Arial" w:cs="Arial"/>
                <w:vertAlign w:val="subscript"/>
              </w:rPr>
              <w:t>v</w:t>
            </w:r>
          </w:p>
        </w:tc>
        <w:tc>
          <w:tcPr>
            <w:tcW w:w="2606" w:type="dxa"/>
            <w:vAlign w:val="center"/>
          </w:tcPr>
          <w:p w:rsidR="00FA54E1" w:rsidRPr="002A789B" w:rsidRDefault="00FA54E1" w:rsidP="000B59C5">
            <w:pPr>
              <w:jc w:val="center"/>
              <w:rPr>
                <w:rFonts w:ascii="Arial" w:hAnsi="Arial" w:cs="Arial"/>
              </w:rPr>
            </w:pPr>
            <w:r w:rsidRPr="002A789B">
              <w:rPr>
                <w:rFonts w:ascii="Arial" w:hAnsi="Arial" w:cs="Arial"/>
              </w:rPr>
              <w:t>24.3</w:t>
            </w:r>
            <w:r w:rsidRPr="002A789B">
              <w:rPr>
                <w:rFonts w:ascii="Arial" w:hAnsi="Arial" w:cs="Arial"/>
                <w:u w:val="single"/>
              </w:rPr>
              <w:t>+</w:t>
            </w:r>
            <w:r w:rsidRPr="002A789B">
              <w:rPr>
                <w:rFonts w:ascii="Arial" w:hAnsi="Arial" w:cs="Arial"/>
              </w:rPr>
              <w:t>0.93</w:t>
            </w:r>
            <w:r w:rsidRPr="002A789B">
              <w:rPr>
                <w:rFonts w:ascii="Arial" w:hAnsi="Arial" w:cs="Arial"/>
                <w:vertAlign w:val="superscript"/>
              </w:rPr>
              <w:t>z</w:t>
            </w:r>
          </w:p>
        </w:tc>
        <w:tc>
          <w:tcPr>
            <w:tcW w:w="2457" w:type="dxa"/>
            <w:vAlign w:val="center"/>
          </w:tcPr>
          <w:p w:rsidR="00FA54E1" w:rsidRPr="002A789B" w:rsidRDefault="00FA54E1" w:rsidP="000B59C5">
            <w:pPr>
              <w:jc w:val="center"/>
              <w:rPr>
                <w:rFonts w:ascii="Arial" w:hAnsi="Arial" w:cs="Arial"/>
              </w:rPr>
            </w:pPr>
            <w:r w:rsidRPr="002A789B">
              <w:rPr>
                <w:rFonts w:ascii="Arial" w:hAnsi="Arial" w:cs="Arial"/>
              </w:rPr>
              <w:t>4.4</w:t>
            </w:r>
            <w:r w:rsidRPr="002A789B">
              <w:rPr>
                <w:rFonts w:ascii="Arial" w:hAnsi="Arial" w:cs="Arial"/>
                <w:u w:val="single"/>
              </w:rPr>
              <w:t>+</w:t>
            </w:r>
            <w:r w:rsidRPr="002A789B">
              <w:rPr>
                <w:rFonts w:ascii="Arial" w:hAnsi="Arial" w:cs="Arial"/>
              </w:rPr>
              <w:t>0.27</w:t>
            </w:r>
            <w:r w:rsidRPr="002A789B">
              <w:rPr>
                <w:rFonts w:ascii="Arial" w:hAnsi="Arial" w:cs="Arial"/>
                <w:vertAlign w:val="superscript"/>
              </w:rPr>
              <w:t>a</w:t>
            </w:r>
          </w:p>
        </w:tc>
      </w:tr>
    </w:tbl>
    <w:p w:rsidR="00FA54E1" w:rsidRPr="002A789B" w:rsidRDefault="00FA54E1" w:rsidP="00FA54E1">
      <w:pPr>
        <w:rPr>
          <w:rFonts w:ascii="Arial" w:hAnsi="Arial" w:cs="Arial"/>
          <w:b/>
        </w:rPr>
      </w:pPr>
    </w:p>
    <w:p w:rsidR="00FA54E1" w:rsidRPr="002A789B" w:rsidRDefault="00FA54E1" w:rsidP="002E3EAD">
      <w:pPr>
        <w:spacing w:line="480" w:lineRule="auto"/>
        <w:rPr>
          <w:rFonts w:ascii="Arial" w:hAnsi="Arial" w:cs="Arial"/>
          <w:b/>
        </w:rPr>
      </w:pPr>
      <w:r w:rsidRPr="002A789B">
        <w:rPr>
          <w:rFonts w:ascii="Arial" w:hAnsi="Arial" w:cs="Arial"/>
        </w:rPr>
        <w:t xml:space="preserve">Values are mean </w:t>
      </w:r>
      <w:r w:rsidRPr="002A789B">
        <w:rPr>
          <w:rFonts w:ascii="Arial" w:hAnsi="Arial" w:cs="Arial"/>
          <w:u w:val="single"/>
        </w:rPr>
        <w:t>+</w:t>
      </w:r>
      <w:r w:rsidRPr="002A789B">
        <w:rPr>
          <w:rFonts w:ascii="Arial" w:hAnsi="Arial" w:cs="Arial"/>
        </w:rPr>
        <w:t xml:space="preserve"> SEM of triplicate determination. Values on the same row having the same subscript are not significantly different from each other.</w:t>
      </w:r>
    </w:p>
    <w:p w:rsidR="00FA54E1" w:rsidRPr="002A789B" w:rsidRDefault="00FA54E1" w:rsidP="009F74EA">
      <w:pPr>
        <w:spacing w:line="360" w:lineRule="auto"/>
        <w:jc w:val="both"/>
        <w:rPr>
          <w:rFonts w:ascii="Arial" w:hAnsi="Arial" w:cs="Arial"/>
        </w:rPr>
      </w:pPr>
    </w:p>
    <w:p w:rsidR="00FA54E1" w:rsidRPr="002A789B" w:rsidRDefault="00FA54E1" w:rsidP="009F74EA">
      <w:pPr>
        <w:spacing w:line="360" w:lineRule="auto"/>
        <w:jc w:val="both"/>
        <w:rPr>
          <w:rFonts w:ascii="Arial" w:hAnsi="Arial" w:cs="Arial"/>
        </w:rPr>
        <w:sectPr w:rsidR="00FA54E1" w:rsidRPr="002A789B" w:rsidSect="001105E0">
          <w:headerReference w:type="default" r:id="rId6"/>
          <w:footerReference w:type="even" r:id="rId7"/>
          <w:footerReference w:type="default" r:id="rId8"/>
          <w:pgSz w:w="11909" w:h="16834" w:code="9"/>
          <w:pgMar w:top="1440" w:right="1440" w:bottom="1440" w:left="1440" w:header="720" w:footer="720" w:gutter="0"/>
          <w:cols w:space="720"/>
          <w:docGrid w:linePitch="360"/>
        </w:sectPr>
      </w:pPr>
    </w:p>
    <w:p w:rsidR="00D30203" w:rsidRPr="002A789B" w:rsidRDefault="00D30203" w:rsidP="004004E9">
      <w:pPr>
        <w:rPr>
          <w:rFonts w:ascii="Arial" w:hAnsi="Arial" w:cs="Arial"/>
          <w:b/>
        </w:rPr>
      </w:pPr>
      <w:r w:rsidRPr="002A789B">
        <w:rPr>
          <w:rFonts w:ascii="Arial" w:hAnsi="Arial" w:cs="Arial"/>
          <w:b/>
        </w:rPr>
        <w:lastRenderedPageBreak/>
        <w:t>2: Glycated H</w:t>
      </w:r>
      <w:r w:rsidR="004004E9">
        <w:rPr>
          <w:rFonts w:ascii="Arial" w:hAnsi="Arial" w:cs="Arial"/>
          <w:b/>
        </w:rPr>
        <w:t>a</w:t>
      </w:r>
      <w:r w:rsidRPr="002A789B">
        <w:rPr>
          <w:rFonts w:ascii="Arial" w:hAnsi="Arial" w:cs="Arial"/>
          <w:b/>
        </w:rPr>
        <w:t>emoglobin (HbA1C)% Assay Values for Different Groups</w:t>
      </w:r>
    </w:p>
    <w:p w:rsidR="00D30203" w:rsidRPr="002A789B" w:rsidRDefault="00D30203" w:rsidP="00D30203">
      <w:pPr>
        <w:jc w:val="both"/>
        <w:rPr>
          <w:rFonts w:ascii="Arial" w:hAnsi="Arial" w:cs="Arial"/>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2283"/>
        <w:gridCol w:w="2611"/>
        <w:gridCol w:w="2454"/>
      </w:tblGrid>
      <w:tr w:rsidR="002A789B" w:rsidRPr="002A789B" w:rsidTr="000B59C5">
        <w:tc>
          <w:tcPr>
            <w:tcW w:w="1728" w:type="dxa"/>
            <w:vAlign w:val="center"/>
          </w:tcPr>
          <w:p w:rsidR="00D30203" w:rsidRPr="002A789B" w:rsidRDefault="00D30203" w:rsidP="000B59C5">
            <w:pPr>
              <w:jc w:val="center"/>
              <w:rPr>
                <w:rFonts w:ascii="Arial" w:hAnsi="Arial" w:cs="Arial"/>
                <w:b/>
              </w:rPr>
            </w:pPr>
            <w:r w:rsidRPr="002A789B">
              <w:rPr>
                <w:rFonts w:ascii="Arial" w:hAnsi="Arial" w:cs="Arial"/>
                <w:b/>
              </w:rPr>
              <w:t>Day</w:t>
            </w:r>
          </w:p>
        </w:tc>
        <w:tc>
          <w:tcPr>
            <w:tcW w:w="2512" w:type="dxa"/>
            <w:vAlign w:val="center"/>
          </w:tcPr>
          <w:p w:rsidR="00D30203" w:rsidRPr="002A789B" w:rsidRDefault="00D30203" w:rsidP="000B59C5">
            <w:pPr>
              <w:jc w:val="center"/>
              <w:rPr>
                <w:rFonts w:ascii="Arial" w:hAnsi="Arial" w:cs="Arial"/>
                <w:b/>
              </w:rPr>
            </w:pPr>
            <w:r w:rsidRPr="002A789B">
              <w:rPr>
                <w:rFonts w:ascii="Arial" w:hAnsi="Arial" w:cs="Arial"/>
                <w:b/>
              </w:rPr>
              <w:t>Control</w:t>
            </w:r>
          </w:p>
        </w:tc>
        <w:tc>
          <w:tcPr>
            <w:tcW w:w="2880" w:type="dxa"/>
            <w:vAlign w:val="center"/>
          </w:tcPr>
          <w:p w:rsidR="00D30203" w:rsidRPr="002A789B" w:rsidRDefault="00D30203" w:rsidP="000B59C5">
            <w:pPr>
              <w:jc w:val="center"/>
              <w:rPr>
                <w:rFonts w:ascii="Arial" w:hAnsi="Arial" w:cs="Arial"/>
                <w:b/>
              </w:rPr>
            </w:pPr>
            <w:r w:rsidRPr="002A789B">
              <w:rPr>
                <w:rFonts w:ascii="Arial" w:hAnsi="Arial" w:cs="Arial"/>
                <w:b/>
              </w:rPr>
              <w:t>Diabetic control rats</w:t>
            </w:r>
          </w:p>
        </w:tc>
        <w:tc>
          <w:tcPr>
            <w:tcW w:w="2700" w:type="dxa"/>
            <w:vAlign w:val="center"/>
          </w:tcPr>
          <w:p w:rsidR="00D30203" w:rsidRPr="002A789B" w:rsidRDefault="00D30203" w:rsidP="000B59C5">
            <w:pPr>
              <w:jc w:val="center"/>
              <w:rPr>
                <w:rFonts w:ascii="Arial" w:hAnsi="Arial" w:cs="Arial"/>
                <w:b/>
              </w:rPr>
            </w:pPr>
            <w:r w:rsidRPr="002A789B">
              <w:rPr>
                <w:rFonts w:ascii="Arial" w:hAnsi="Arial" w:cs="Arial"/>
                <w:b/>
              </w:rPr>
              <w:t>DTR on Daonil</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0</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4.3</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a</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10.4</w:t>
            </w:r>
            <w:r w:rsidRPr="002A789B">
              <w:rPr>
                <w:rFonts w:ascii="Arial" w:hAnsi="Arial" w:cs="Arial"/>
                <w:u w:val="single"/>
              </w:rPr>
              <w:t>+</w:t>
            </w:r>
            <w:r w:rsidRPr="002A789B">
              <w:rPr>
                <w:rFonts w:ascii="Arial" w:hAnsi="Arial" w:cs="Arial"/>
              </w:rPr>
              <w:t>0.08</w:t>
            </w:r>
            <w:r w:rsidRPr="002A789B">
              <w:rPr>
                <w:rFonts w:ascii="Arial" w:hAnsi="Arial" w:cs="Arial"/>
                <w:vertAlign w:val="superscript"/>
              </w:rPr>
              <w:t>b</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13.3</w:t>
            </w:r>
            <w:r w:rsidRPr="002A789B">
              <w:rPr>
                <w:rFonts w:ascii="Arial" w:hAnsi="Arial" w:cs="Arial"/>
                <w:u w:val="single"/>
              </w:rPr>
              <w:t>+</w:t>
            </w:r>
            <w:r w:rsidRPr="002A789B">
              <w:rPr>
                <w:rFonts w:ascii="Arial" w:hAnsi="Arial" w:cs="Arial"/>
              </w:rPr>
              <w:t>0.51</w:t>
            </w:r>
            <w:r w:rsidRPr="002A789B">
              <w:rPr>
                <w:rFonts w:ascii="Arial" w:hAnsi="Arial" w:cs="Arial"/>
                <w:vertAlign w:val="superscript"/>
              </w:rPr>
              <w:t>c</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2</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4.4</w:t>
            </w:r>
            <w:r w:rsidRPr="002A789B">
              <w:rPr>
                <w:rFonts w:ascii="Arial" w:hAnsi="Arial" w:cs="Arial"/>
                <w:u w:val="single"/>
              </w:rPr>
              <w:t>+</w:t>
            </w:r>
            <w:r w:rsidRPr="002A789B">
              <w:rPr>
                <w:rFonts w:ascii="Arial" w:hAnsi="Arial" w:cs="Arial"/>
              </w:rPr>
              <w:t>0.06</w:t>
            </w:r>
            <w:r w:rsidRPr="002A789B">
              <w:rPr>
                <w:rFonts w:ascii="Arial" w:hAnsi="Arial" w:cs="Arial"/>
                <w:vertAlign w:val="superscript"/>
              </w:rPr>
              <w:t>d</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10.0</w:t>
            </w:r>
            <w:r w:rsidRPr="002A789B">
              <w:rPr>
                <w:rFonts w:ascii="Arial" w:hAnsi="Arial" w:cs="Arial"/>
                <w:u w:val="single"/>
              </w:rPr>
              <w:t>+</w:t>
            </w:r>
            <w:r w:rsidRPr="002A789B">
              <w:rPr>
                <w:rFonts w:ascii="Arial" w:hAnsi="Arial" w:cs="Arial"/>
              </w:rPr>
              <w:t>0.57</w:t>
            </w:r>
            <w:r w:rsidRPr="002A789B">
              <w:rPr>
                <w:rFonts w:ascii="Arial" w:hAnsi="Arial" w:cs="Arial"/>
                <w:vertAlign w:val="superscript"/>
              </w:rPr>
              <w:t>e</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12.0</w:t>
            </w:r>
            <w:r w:rsidRPr="002A789B">
              <w:rPr>
                <w:rFonts w:ascii="Arial" w:hAnsi="Arial" w:cs="Arial"/>
                <w:u w:val="single"/>
              </w:rPr>
              <w:t>+</w:t>
            </w:r>
            <w:r w:rsidRPr="002A789B">
              <w:rPr>
                <w:rFonts w:ascii="Arial" w:hAnsi="Arial" w:cs="Arial"/>
              </w:rPr>
              <w:t>0.31</w:t>
            </w:r>
            <w:r w:rsidRPr="002A789B">
              <w:rPr>
                <w:rFonts w:ascii="Arial" w:hAnsi="Arial" w:cs="Arial"/>
                <w:vertAlign w:val="superscript"/>
              </w:rPr>
              <w:t>f</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4</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4.5</w:t>
            </w:r>
            <w:r w:rsidRPr="002A789B">
              <w:rPr>
                <w:rFonts w:ascii="Arial" w:hAnsi="Arial" w:cs="Arial"/>
                <w:u w:val="single"/>
              </w:rPr>
              <w:t>+</w:t>
            </w:r>
            <w:r w:rsidRPr="002A789B">
              <w:rPr>
                <w:rFonts w:ascii="Arial" w:hAnsi="Arial" w:cs="Arial"/>
              </w:rPr>
              <w:t>0.05</w:t>
            </w:r>
            <w:r w:rsidRPr="002A789B">
              <w:rPr>
                <w:rFonts w:ascii="Arial" w:hAnsi="Arial" w:cs="Arial"/>
                <w:vertAlign w:val="superscript"/>
              </w:rPr>
              <w:t>g</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12.2</w:t>
            </w:r>
            <w:r w:rsidRPr="002A789B">
              <w:rPr>
                <w:rFonts w:ascii="Arial" w:hAnsi="Arial" w:cs="Arial"/>
                <w:u w:val="single"/>
              </w:rPr>
              <w:t>+</w:t>
            </w:r>
            <w:r w:rsidRPr="002A789B">
              <w:rPr>
                <w:rFonts w:ascii="Arial" w:hAnsi="Arial" w:cs="Arial"/>
              </w:rPr>
              <w:t>0.10</w:t>
            </w:r>
            <w:r w:rsidRPr="002A789B">
              <w:rPr>
                <w:rFonts w:ascii="Arial" w:hAnsi="Arial" w:cs="Arial"/>
                <w:vertAlign w:val="superscript"/>
              </w:rPr>
              <w:t>h</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11.0</w:t>
            </w:r>
            <w:r w:rsidRPr="002A789B">
              <w:rPr>
                <w:rFonts w:ascii="Arial" w:hAnsi="Arial" w:cs="Arial"/>
                <w:u w:val="single"/>
              </w:rPr>
              <w:t>+</w:t>
            </w:r>
            <w:r w:rsidRPr="002A789B">
              <w:rPr>
                <w:rFonts w:ascii="Arial" w:hAnsi="Arial" w:cs="Arial"/>
              </w:rPr>
              <w:t>0.8</w:t>
            </w:r>
            <w:r w:rsidRPr="002A789B">
              <w:rPr>
                <w:rFonts w:ascii="Arial" w:hAnsi="Arial" w:cs="Arial"/>
                <w:vertAlign w:val="superscript"/>
              </w:rPr>
              <w:t>h</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6</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4.3</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i</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14.3</w:t>
            </w:r>
            <w:r w:rsidRPr="002A789B">
              <w:rPr>
                <w:rFonts w:ascii="Arial" w:hAnsi="Arial" w:cs="Arial"/>
                <w:u w:val="single"/>
              </w:rPr>
              <w:t>+</w:t>
            </w:r>
            <w:r w:rsidRPr="002A789B">
              <w:rPr>
                <w:rFonts w:ascii="Arial" w:hAnsi="Arial" w:cs="Arial"/>
              </w:rPr>
              <w:t>0.05</w:t>
            </w:r>
            <w:r w:rsidRPr="002A789B">
              <w:rPr>
                <w:rFonts w:ascii="Arial" w:hAnsi="Arial" w:cs="Arial"/>
                <w:vertAlign w:val="superscript"/>
              </w:rPr>
              <w:t>i</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8.3</w:t>
            </w:r>
            <w:r w:rsidRPr="002A789B">
              <w:rPr>
                <w:rFonts w:ascii="Arial" w:hAnsi="Arial" w:cs="Arial"/>
                <w:i/>
                <w:u w:val="single"/>
              </w:rPr>
              <w:t>+</w:t>
            </w:r>
            <w:r w:rsidRPr="002A789B">
              <w:rPr>
                <w:rFonts w:ascii="Arial" w:hAnsi="Arial" w:cs="Arial"/>
              </w:rPr>
              <w:t>0.21</w:t>
            </w:r>
            <w:r w:rsidRPr="002A789B">
              <w:rPr>
                <w:rFonts w:ascii="Arial" w:hAnsi="Arial" w:cs="Arial"/>
                <w:u w:val="single"/>
              </w:rPr>
              <w:t>k</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8</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4.4</w:t>
            </w:r>
            <w:r w:rsidRPr="002A789B">
              <w:rPr>
                <w:rFonts w:ascii="Arial" w:hAnsi="Arial" w:cs="Arial"/>
                <w:u w:val="single"/>
              </w:rPr>
              <w:t>+</w:t>
            </w:r>
            <w:r w:rsidRPr="002A789B">
              <w:rPr>
                <w:rFonts w:ascii="Arial" w:hAnsi="Arial" w:cs="Arial"/>
              </w:rPr>
              <w:t>0.40</w:t>
            </w:r>
            <w:r w:rsidRPr="002A789B">
              <w:rPr>
                <w:rFonts w:ascii="Arial" w:hAnsi="Arial" w:cs="Arial"/>
                <w:vertAlign w:val="superscript"/>
              </w:rPr>
              <w:t>l</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15.6</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m</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8.0</w:t>
            </w:r>
            <w:r w:rsidRPr="002A789B">
              <w:rPr>
                <w:rFonts w:ascii="Arial" w:hAnsi="Arial" w:cs="Arial"/>
                <w:u w:val="single"/>
              </w:rPr>
              <w:t>+</w:t>
            </w:r>
            <w:r w:rsidRPr="002A789B">
              <w:rPr>
                <w:rFonts w:ascii="Arial" w:hAnsi="Arial" w:cs="Arial"/>
              </w:rPr>
              <w:t>0.41</w:t>
            </w:r>
            <w:r w:rsidRPr="002A789B">
              <w:rPr>
                <w:rFonts w:ascii="Arial" w:hAnsi="Arial" w:cs="Arial"/>
                <w:vertAlign w:val="superscript"/>
              </w:rPr>
              <w:t>n</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10</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4.6</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q</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15.8</w:t>
            </w:r>
            <w:r w:rsidRPr="002A789B">
              <w:rPr>
                <w:rFonts w:ascii="Arial" w:hAnsi="Arial" w:cs="Arial"/>
                <w:u w:val="single"/>
              </w:rPr>
              <w:t>+</w:t>
            </w:r>
            <w:r w:rsidRPr="002A789B">
              <w:rPr>
                <w:rFonts w:ascii="Arial" w:hAnsi="Arial" w:cs="Arial"/>
              </w:rPr>
              <w:t>0.35</w:t>
            </w:r>
            <w:r w:rsidRPr="002A789B">
              <w:rPr>
                <w:rFonts w:ascii="Arial" w:hAnsi="Arial" w:cs="Arial"/>
                <w:vertAlign w:val="superscript"/>
              </w:rPr>
              <w:t>r</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6.21</w:t>
            </w:r>
            <w:r w:rsidRPr="002A789B">
              <w:rPr>
                <w:rFonts w:ascii="Arial" w:hAnsi="Arial" w:cs="Arial"/>
                <w:u w:val="single"/>
              </w:rPr>
              <w:t>+</w:t>
            </w:r>
            <w:r w:rsidRPr="002A789B">
              <w:rPr>
                <w:rFonts w:ascii="Arial" w:hAnsi="Arial" w:cs="Arial"/>
              </w:rPr>
              <w:t>0.11</w:t>
            </w:r>
            <w:r w:rsidRPr="002A789B">
              <w:rPr>
                <w:rFonts w:ascii="Arial" w:hAnsi="Arial" w:cs="Arial"/>
                <w:vertAlign w:val="superscript"/>
              </w:rPr>
              <w:t>s</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12</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4.4</w:t>
            </w:r>
            <w:r w:rsidRPr="002A789B">
              <w:rPr>
                <w:rFonts w:ascii="Arial" w:hAnsi="Arial" w:cs="Arial"/>
                <w:u w:val="single"/>
              </w:rPr>
              <w:t>+</w:t>
            </w:r>
            <w:r w:rsidRPr="002A789B">
              <w:rPr>
                <w:rFonts w:ascii="Arial" w:hAnsi="Arial" w:cs="Arial"/>
              </w:rPr>
              <w:t>0.40</w:t>
            </w:r>
            <w:r w:rsidRPr="002A789B">
              <w:rPr>
                <w:rFonts w:ascii="Arial" w:hAnsi="Arial" w:cs="Arial"/>
                <w:vertAlign w:val="superscript"/>
              </w:rPr>
              <w:t>t</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16.3</w:t>
            </w:r>
            <w:r w:rsidRPr="002A789B">
              <w:rPr>
                <w:rFonts w:ascii="Arial" w:hAnsi="Arial" w:cs="Arial"/>
                <w:u w:val="single"/>
              </w:rPr>
              <w:t>+</w:t>
            </w:r>
            <w:r w:rsidRPr="002A789B">
              <w:rPr>
                <w:rFonts w:ascii="Arial" w:hAnsi="Arial" w:cs="Arial"/>
              </w:rPr>
              <w:t>0.03</w:t>
            </w:r>
            <w:r w:rsidRPr="002A789B">
              <w:rPr>
                <w:rFonts w:ascii="Arial" w:hAnsi="Arial" w:cs="Arial"/>
                <w:vertAlign w:val="superscript"/>
              </w:rPr>
              <w:t>u</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5.1</w:t>
            </w:r>
            <w:r w:rsidRPr="002A789B">
              <w:rPr>
                <w:rFonts w:ascii="Arial" w:hAnsi="Arial" w:cs="Arial"/>
                <w:u w:val="single"/>
              </w:rPr>
              <w:t>+</w:t>
            </w:r>
            <w:r w:rsidRPr="002A789B">
              <w:rPr>
                <w:rFonts w:ascii="Arial" w:hAnsi="Arial" w:cs="Arial"/>
              </w:rPr>
              <w:t>0.23</w:t>
            </w:r>
            <w:r w:rsidRPr="002A789B">
              <w:rPr>
                <w:rFonts w:ascii="Arial" w:hAnsi="Arial" w:cs="Arial"/>
                <w:vertAlign w:val="superscript"/>
              </w:rPr>
              <w:t>v</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14</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4.4</w:t>
            </w:r>
            <w:r w:rsidRPr="002A789B">
              <w:rPr>
                <w:rFonts w:ascii="Arial" w:hAnsi="Arial" w:cs="Arial"/>
                <w:u w:val="single"/>
              </w:rPr>
              <w:t>+</w:t>
            </w:r>
            <w:r w:rsidRPr="002A789B">
              <w:rPr>
                <w:rFonts w:ascii="Arial" w:hAnsi="Arial" w:cs="Arial"/>
              </w:rPr>
              <w:t>0.30</w:t>
            </w:r>
            <w:r w:rsidRPr="002A789B">
              <w:rPr>
                <w:rFonts w:ascii="Arial" w:hAnsi="Arial" w:cs="Arial"/>
                <w:vertAlign w:val="superscript"/>
              </w:rPr>
              <w:t>w</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17.4</w:t>
            </w:r>
            <w:r w:rsidRPr="002A789B">
              <w:rPr>
                <w:rFonts w:ascii="Arial" w:hAnsi="Arial" w:cs="Arial"/>
                <w:u w:val="single"/>
              </w:rPr>
              <w:t>+</w:t>
            </w:r>
            <w:r w:rsidRPr="002A789B">
              <w:rPr>
                <w:rFonts w:ascii="Arial" w:hAnsi="Arial" w:cs="Arial"/>
              </w:rPr>
              <w:t>0.02</w:t>
            </w:r>
            <w:r w:rsidRPr="002A789B">
              <w:rPr>
                <w:rFonts w:ascii="Arial" w:hAnsi="Arial" w:cs="Arial"/>
                <w:vertAlign w:val="superscript"/>
              </w:rPr>
              <w:t>x</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4.6</w:t>
            </w:r>
            <w:r w:rsidRPr="002A789B">
              <w:rPr>
                <w:rFonts w:ascii="Arial" w:hAnsi="Arial" w:cs="Arial"/>
                <w:u w:val="single"/>
              </w:rPr>
              <w:t>+</w:t>
            </w:r>
            <w:r w:rsidRPr="002A789B">
              <w:rPr>
                <w:rFonts w:ascii="Arial" w:hAnsi="Arial" w:cs="Arial"/>
              </w:rPr>
              <w:t>0.22</w:t>
            </w:r>
            <w:r w:rsidRPr="002A789B">
              <w:rPr>
                <w:rFonts w:ascii="Arial" w:hAnsi="Arial" w:cs="Arial"/>
                <w:vertAlign w:val="superscript"/>
              </w:rPr>
              <w:t>y</w:t>
            </w:r>
          </w:p>
        </w:tc>
      </w:tr>
      <w:tr w:rsidR="002A789B" w:rsidRPr="002A789B" w:rsidTr="000B59C5">
        <w:tc>
          <w:tcPr>
            <w:tcW w:w="1728" w:type="dxa"/>
            <w:vAlign w:val="center"/>
          </w:tcPr>
          <w:p w:rsidR="00D30203" w:rsidRPr="002A789B" w:rsidRDefault="00D30203" w:rsidP="000B59C5">
            <w:pPr>
              <w:spacing w:line="480" w:lineRule="auto"/>
              <w:jc w:val="center"/>
              <w:rPr>
                <w:rFonts w:ascii="Arial" w:hAnsi="Arial" w:cs="Arial"/>
              </w:rPr>
            </w:pPr>
            <w:r w:rsidRPr="002A789B">
              <w:rPr>
                <w:rFonts w:ascii="Arial" w:hAnsi="Arial" w:cs="Arial"/>
              </w:rPr>
              <w:t>16</w:t>
            </w:r>
          </w:p>
        </w:tc>
        <w:tc>
          <w:tcPr>
            <w:tcW w:w="2512" w:type="dxa"/>
            <w:vAlign w:val="center"/>
          </w:tcPr>
          <w:p w:rsidR="00D30203" w:rsidRPr="002A789B" w:rsidRDefault="00D30203" w:rsidP="000B59C5">
            <w:pPr>
              <w:jc w:val="center"/>
              <w:rPr>
                <w:rFonts w:ascii="Arial" w:hAnsi="Arial" w:cs="Arial"/>
              </w:rPr>
            </w:pPr>
            <w:r w:rsidRPr="002A789B">
              <w:rPr>
                <w:rFonts w:ascii="Arial" w:hAnsi="Arial" w:cs="Arial"/>
              </w:rPr>
              <w:t>4.4</w:t>
            </w:r>
            <w:r w:rsidRPr="002A789B">
              <w:rPr>
                <w:rFonts w:ascii="Arial" w:hAnsi="Arial" w:cs="Arial"/>
                <w:u w:val="single"/>
              </w:rPr>
              <w:t>+</w:t>
            </w:r>
            <w:r w:rsidRPr="002A789B">
              <w:rPr>
                <w:rFonts w:ascii="Arial" w:hAnsi="Arial" w:cs="Arial"/>
              </w:rPr>
              <w:t>0.57</w:t>
            </w:r>
            <w:r w:rsidRPr="002A789B">
              <w:rPr>
                <w:rFonts w:ascii="Arial" w:hAnsi="Arial" w:cs="Arial"/>
                <w:vertAlign w:val="superscript"/>
              </w:rPr>
              <w:t>z</w:t>
            </w:r>
          </w:p>
        </w:tc>
        <w:tc>
          <w:tcPr>
            <w:tcW w:w="2880" w:type="dxa"/>
            <w:vAlign w:val="center"/>
          </w:tcPr>
          <w:p w:rsidR="00D30203" w:rsidRPr="002A789B" w:rsidRDefault="00D30203" w:rsidP="000B59C5">
            <w:pPr>
              <w:jc w:val="center"/>
              <w:rPr>
                <w:rFonts w:ascii="Arial" w:hAnsi="Arial" w:cs="Arial"/>
              </w:rPr>
            </w:pPr>
            <w:r w:rsidRPr="002A789B">
              <w:rPr>
                <w:rFonts w:ascii="Arial" w:hAnsi="Arial" w:cs="Arial"/>
              </w:rPr>
              <w:t>18.3</w:t>
            </w:r>
            <w:r w:rsidRPr="002A789B">
              <w:rPr>
                <w:rFonts w:ascii="Arial" w:hAnsi="Arial" w:cs="Arial"/>
                <w:u w:val="single"/>
              </w:rPr>
              <w:t>+</w:t>
            </w:r>
            <w:r w:rsidRPr="002A789B">
              <w:rPr>
                <w:rFonts w:ascii="Arial" w:hAnsi="Arial" w:cs="Arial"/>
              </w:rPr>
              <w:t>0.04</w:t>
            </w:r>
            <w:r w:rsidRPr="002A789B">
              <w:rPr>
                <w:rFonts w:ascii="Arial" w:hAnsi="Arial" w:cs="Arial"/>
                <w:vertAlign w:val="superscript"/>
              </w:rPr>
              <w:t>t</w:t>
            </w:r>
          </w:p>
        </w:tc>
        <w:tc>
          <w:tcPr>
            <w:tcW w:w="2700" w:type="dxa"/>
            <w:vAlign w:val="center"/>
          </w:tcPr>
          <w:p w:rsidR="00D30203" w:rsidRPr="002A789B" w:rsidRDefault="00D30203" w:rsidP="000B59C5">
            <w:pPr>
              <w:jc w:val="center"/>
              <w:rPr>
                <w:rFonts w:ascii="Arial" w:hAnsi="Arial" w:cs="Arial"/>
              </w:rPr>
            </w:pPr>
            <w:r w:rsidRPr="002A789B">
              <w:rPr>
                <w:rFonts w:ascii="Arial" w:hAnsi="Arial" w:cs="Arial"/>
              </w:rPr>
              <w:t>3.0</w:t>
            </w:r>
            <w:r w:rsidRPr="002A789B">
              <w:rPr>
                <w:rFonts w:ascii="Arial" w:hAnsi="Arial" w:cs="Arial"/>
                <w:u w:val="single"/>
              </w:rPr>
              <w:t>+</w:t>
            </w:r>
            <w:r w:rsidRPr="002A789B">
              <w:rPr>
                <w:rFonts w:ascii="Arial" w:hAnsi="Arial" w:cs="Arial"/>
              </w:rPr>
              <w:t>0.23</w:t>
            </w:r>
            <w:r w:rsidRPr="002A789B">
              <w:rPr>
                <w:rFonts w:ascii="Arial" w:hAnsi="Arial" w:cs="Arial"/>
                <w:vertAlign w:val="superscript"/>
              </w:rPr>
              <w:t>u</w:t>
            </w:r>
          </w:p>
        </w:tc>
      </w:tr>
    </w:tbl>
    <w:p w:rsidR="00D30203" w:rsidRPr="002A789B" w:rsidRDefault="00D30203" w:rsidP="00D30203">
      <w:pPr>
        <w:jc w:val="both"/>
        <w:rPr>
          <w:rFonts w:ascii="Arial" w:hAnsi="Arial" w:cs="Arial"/>
        </w:rPr>
      </w:pPr>
    </w:p>
    <w:p w:rsidR="00D30203" w:rsidRPr="002A789B" w:rsidRDefault="00D30203" w:rsidP="002E3EAD">
      <w:pPr>
        <w:spacing w:line="480" w:lineRule="auto"/>
        <w:rPr>
          <w:rFonts w:ascii="Arial" w:hAnsi="Arial" w:cs="Arial"/>
        </w:rPr>
        <w:sectPr w:rsidR="00D30203" w:rsidRPr="002A789B" w:rsidSect="00D30203">
          <w:pgSz w:w="11909" w:h="16834" w:code="9"/>
          <w:pgMar w:top="1440" w:right="1440" w:bottom="1440" w:left="1440" w:header="720" w:footer="720" w:gutter="0"/>
          <w:cols w:space="720"/>
          <w:docGrid w:linePitch="360"/>
        </w:sectPr>
      </w:pPr>
      <w:r w:rsidRPr="002A789B">
        <w:rPr>
          <w:rFonts w:ascii="Arial" w:hAnsi="Arial" w:cs="Arial"/>
        </w:rPr>
        <w:t xml:space="preserve">Values are mean </w:t>
      </w:r>
      <w:r w:rsidRPr="002A789B">
        <w:rPr>
          <w:rFonts w:ascii="Arial" w:hAnsi="Arial" w:cs="Arial"/>
          <w:u w:val="single"/>
        </w:rPr>
        <w:t>+</w:t>
      </w:r>
      <w:r w:rsidRPr="002A789B">
        <w:rPr>
          <w:rFonts w:ascii="Arial" w:hAnsi="Arial" w:cs="Arial"/>
        </w:rPr>
        <w:t xml:space="preserve"> SEM of triplicate determination. Values on the same row having the same superscript are not significantly different from each other.</w:t>
      </w:r>
    </w:p>
    <w:p w:rsidR="005F3A7D" w:rsidRDefault="005F3A7D" w:rsidP="00F671DA">
      <w:pPr>
        <w:jc w:val="both"/>
        <w:rPr>
          <w:rFonts w:ascii="Arial" w:hAnsi="Arial" w:cs="Arial"/>
          <w:b/>
          <w:noProof/>
          <w:u w:val="single"/>
        </w:rPr>
      </w:pPr>
    </w:p>
    <w:p w:rsidR="00BE324C" w:rsidRDefault="00BE324C" w:rsidP="00F671DA">
      <w:pPr>
        <w:jc w:val="both"/>
        <w:rPr>
          <w:rFonts w:ascii="Arial" w:hAnsi="Arial" w:cs="Arial"/>
          <w:noProof/>
        </w:rPr>
      </w:pPr>
      <w:r w:rsidRPr="00BE324C">
        <w:rPr>
          <w:rFonts w:ascii="Arial" w:hAnsi="Arial" w:cs="Arial"/>
          <w:noProof/>
        </w:rPr>
        <w:t>Fig</w:t>
      </w:r>
      <w:r>
        <w:rPr>
          <w:rFonts w:ascii="Arial" w:hAnsi="Arial" w:cs="Arial"/>
          <w:noProof/>
        </w:rPr>
        <w:t xml:space="preserve"> 1: Correlation between F</w:t>
      </w:r>
      <w:r w:rsidR="00B66B8F">
        <w:rPr>
          <w:rFonts w:ascii="Arial" w:hAnsi="Arial" w:cs="Arial"/>
          <w:noProof/>
        </w:rPr>
        <w:t>P</w:t>
      </w:r>
      <w:r>
        <w:rPr>
          <w:rFonts w:ascii="Arial" w:hAnsi="Arial" w:cs="Arial"/>
          <w:noProof/>
        </w:rPr>
        <w:t>G and HbA1c in normal, diabetic and daonil treated wistar albino rats</w:t>
      </w:r>
    </w:p>
    <w:p w:rsidR="00BE324C" w:rsidRDefault="000C4C88" w:rsidP="00F671DA">
      <w:pPr>
        <w:jc w:val="both"/>
        <w:rPr>
          <w:rFonts w:ascii="Arial" w:hAnsi="Arial" w:cs="Arial"/>
          <w:noProof/>
        </w:rPr>
      </w:pPr>
      <w:r w:rsidRPr="000C4C88">
        <w:rPr>
          <w:rFonts w:ascii="Arial" w:hAnsi="Arial" w:cs="Arial"/>
          <w:b/>
          <w:noProof/>
          <w:u w:val="single"/>
          <w:lang w:eastAsia="zh-TW"/>
        </w:rPr>
        <w:pict>
          <v:shapetype id="_x0000_t202" coordsize="21600,21600" o:spt="202" path="m,l,21600r21600,l21600,xe">
            <v:stroke joinstyle="miter"/>
            <v:path gradientshapeok="t" o:connecttype="rect"/>
          </v:shapetype>
          <v:shape id="_x0000_s1027" type="#_x0000_t202" style="position:absolute;left:0;text-align:left;margin-left:47.25pt;margin-top:7pt;width:561.5pt;height:325.15pt;z-index:251660288;mso-wrap-style:none;mso-width-relative:margin;mso-height-relative:margin" filled="f" stroked="f">
            <v:textbox style="mso-next-textbox:#_x0000_s1027;mso-fit-shape-to-text:t">
              <w:txbxContent>
                <w:p w:rsidR="0009014F" w:rsidRDefault="009D4373">
                  <w:r>
                    <w:rPr>
                      <w:noProof/>
                    </w:rPr>
                    <w:drawing>
                      <wp:inline distT="0" distB="0" distL="0" distR="0">
                        <wp:extent cx="6932634" cy="4036948"/>
                        <wp:effectExtent l="7817" t="0" r="3909" b="382"/>
                        <wp:docPr id="10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w:r>
    </w:p>
    <w:p w:rsidR="00BE324C" w:rsidRPr="00BE324C" w:rsidRDefault="00BE324C" w:rsidP="00F671DA">
      <w:pPr>
        <w:jc w:val="both"/>
        <w:rPr>
          <w:rFonts w:ascii="Arial" w:hAnsi="Arial" w:cs="Arial"/>
          <w:noProof/>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0C4C88" w:rsidP="00F671DA">
      <w:pPr>
        <w:jc w:val="both"/>
        <w:rPr>
          <w:rFonts w:ascii="Arial" w:hAnsi="Arial" w:cs="Arial"/>
          <w:b/>
          <w:noProof/>
          <w:u w:val="single"/>
        </w:rPr>
      </w:pPr>
      <w:r>
        <w:rPr>
          <w:rFonts w:ascii="Arial" w:hAnsi="Arial" w:cs="Arial"/>
          <w:b/>
          <w:noProof/>
          <w:u w:val="single"/>
          <w:lang w:eastAsia="zh-TW"/>
        </w:rPr>
        <w:pict>
          <v:shape id="_x0000_s1028" type="#_x0000_t202" style="position:absolute;left:0;text-align:left;margin-left:169.8pt;margin-top:7.5pt;width:172.7pt;height:23pt;z-index:251662336;mso-width-relative:margin;mso-height-relative:margin" filled="f" stroked="f">
            <v:textbox>
              <w:txbxContent>
                <w:p w:rsidR="00154E12" w:rsidRPr="00154E12" w:rsidRDefault="00154E12" w:rsidP="00154E12">
                  <w:pPr>
                    <w:jc w:val="center"/>
                    <w:rPr>
                      <w:rFonts w:ascii="Arial" w:hAnsi="Arial" w:cs="Arial"/>
                      <w:sz w:val="18"/>
                    </w:rPr>
                  </w:pPr>
                  <w:r w:rsidRPr="00154E12">
                    <w:rPr>
                      <w:rFonts w:ascii="Arial" w:hAnsi="Arial" w:cs="Arial"/>
                      <w:sz w:val="18"/>
                    </w:rPr>
                    <w:t>DCR FPG = 1.57 DCR HbA1c – 6.905</w:t>
                  </w:r>
                </w:p>
              </w:txbxContent>
            </v:textbox>
          </v:shape>
        </w:pict>
      </w: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0C4C88" w:rsidP="00F671DA">
      <w:pPr>
        <w:jc w:val="both"/>
        <w:rPr>
          <w:rFonts w:ascii="Arial" w:hAnsi="Arial" w:cs="Arial"/>
          <w:b/>
          <w:noProof/>
          <w:u w:val="single"/>
        </w:rPr>
      </w:pPr>
      <w:r>
        <w:rPr>
          <w:rFonts w:ascii="Arial" w:hAnsi="Arial" w:cs="Arial"/>
          <w:b/>
          <w:noProof/>
          <w:u w:val="single"/>
        </w:rPr>
        <w:pict>
          <v:shape id="_x0000_s1029" type="#_x0000_t202" style="position:absolute;left:0;text-align:left;margin-left:250.8pt;margin-top:.8pt;width:195.2pt;height:19pt;z-index:251663360;mso-width-relative:margin;mso-height-relative:margin" filled="f" stroked="f">
            <v:textbox>
              <w:txbxContent>
                <w:p w:rsidR="00154E12" w:rsidRPr="00154E12" w:rsidRDefault="00154E12">
                  <w:pPr>
                    <w:rPr>
                      <w:rFonts w:ascii="Arial" w:hAnsi="Arial" w:cs="Arial"/>
                      <w:sz w:val="18"/>
                    </w:rPr>
                  </w:pPr>
                  <w:r w:rsidRPr="00154E12">
                    <w:rPr>
                      <w:rFonts w:ascii="Arial" w:hAnsi="Arial" w:cs="Arial"/>
                      <w:sz w:val="18"/>
                    </w:rPr>
                    <w:t>DTRD FPG = DTRD HbA1c 1.344 + 0.041</w:t>
                  </w:r>
                </w:p>
              </w:txbxContent>
            </v:textbox>
          </v:shape>
        </w:pict>
      </w: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0C4C88" w:rsidP="00F671DA">
      <w:pPr>
        <w:jc w:val="both"/>
        <w:rPr>
          <w:rFonts w:ascii="Arial" w:hAnsi="Arial" w:cs="Arial"/>
          <w:b/>
          <w:noProof/>
          <w:u w:val="single"/>
        </w:rPr>
      </w:pPr>
      <w:r>
        <w:rPr>
          <w:rFonts w:ascii="Arial" w:hAnsi="Arial" w:cs="Arial"/>
          <w:b/>
          <w:noProof/>
          <w:u w:val="single"/>
        </w:rPr>
        <w:pict>
          <v:shape id="_x0000_s1030" type="#_x0000_t202" style="position:absolute;left:0;text-align:left;margin-left:123.8pt;margin-top:10.9pt;width:199.2pt;height:19pt;z-index:251664384;mso-width-relative:margin;mso-height-relative:margin" filled="f" stroked="f">
            <v:textbox>
              <w:txbxContent>
                <w:p w:rsidR="00154E12" w:rsidRPr="00154E12" w:rsidRDefault="00154E12">
                  <w:pPr>
                    <w:rPr>
                      <w:rFonts w:ascii="Arial" w:hAnsi="Arial" w:cs="Arial"/>
                      <w:sz w:val="18"/>
                    </w:rPr>
                  </w:pPr>
                  <w:r>
                    <w:rPr>
                      <w:rFonts w:ascii="Arial" w:hAnsi="Arial" w:cs="Arial"/>
                      <w:sz w:val="18"/>
                    </w:rPr>
                    <w:t>Control FP</w:t>
                  </w:r>
                  <w:r w:rsidR="00B66B8F">
                    <w:rPr>
                      <w:rFonts w:ascii="Arial" w:hAnsi="Arial" w:cs="Arial"/>
                      <w:sz w:val="18"/>
                    </w:rPr>
                    <w:t>G</w:t>
                  </w:r>
                  <w:r>
                    <w:rPr>
                      <w:rFonts w:ascii="Arial" w:hAnsi="Arial" w:cs="Arial"/>
                      <w:sz w:val="18"/>
                    </w:rPr>
                    <w:t xml:space="preserve"> = 1.113 Control HbA1c – 0.176</w:t>
                  </w:r>
                </w:p>
              </w:txbxContent>
            </v:textbox>
          </v:shape>
        </w:pict>
      </w: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Pr="00154E12" w:rsidRDefault="00154E12" w:rsidP="00154E12">
      <w:pPr>
        <w:tabs>
          <w:tab w:val="left" w:pos="5460"/>
        </w:tabs>
        <w:jc w:val="both"/>
        <w:rPr>
          <w:rFonts w:ascii="Arial" w:hAnsi="Arial" w:cs="Arial"/>
          <w:b/>
          <w:noProof/>
        </w:rPr>
      </w:pPr>
      <w:r>
        <w:rPr>
          <w:rFonts w:ascii="Arial" w:hAnsi="Arial" w:cs="Arial"/>
          <w:b/>
          <w:noProof/>
        </w:rPr>
        <w:tab/>
      </w:r>
    </w:p>
    <w:p w:rsidR="00BE324C" w:rsidRDefault="00BE324C" w:rsidP="00F671DA">
      <w:pPr>
        <w:jc w:val="both"/>
        <w:rPr>
          <w:rFonts w:ascii="Arial" w:hAnsi="Arial" w:cs="Arial"/>
          <w:noProof/>
        </w:rPr>
      </w:pPr>
      <w:r>
        <w:rPr>
          <w:rFonts w:ascii="Arial" w:hAnsi="Arial" w:cs="Arial"/>
          <w:noProof/>
        </w:rPr>
        <w:t xml:space="preserve">Legend: </w:t>
      </w:r>
      <w:r w:rsidRPr="00BE324C">
        <w:rPr>
          <w:rFonts w:ascii="Arial" w:hAnsi="Arial" w:cs="Arial"/>
          <w:noProof/>
        </w:rPr>
        <w:t>Fasting</w:t>
      </w:r>
      <w:r>
        <w:rPr>
          <w:rFonts w:ascii="Arial" w:hAnsi="Arial" w:cs="Arial"/>
          <w:noProof/>
        </w:rPr>
        <w:t xml:space="preserve"> plasma glucose (FPG) and glycated haemoglobin (HbA1c) correlated. The relationship is described by the regression equation indicated.</w:t>
      </w:r>
    </w:p>
    <w:p w:rsidR="00154E12" w:rsidRPr="00BE324C" w:rsidRDefault="00154E12" w:rsidP="00F671DA">
      <w:pPr>
        <w:jc w:val="both"/>
        <w:rPr>
          <w:rFonts w:ascii="Arial" w:hAnsi="Arial" w:cs="Arial"/>
          <w:noProof/>
        </w:rPr>
      </w:pPr>
      <w:r>
        <w:rPr>
          <w:rFonts w:ascii="Arial" w:hAnsi="Arial" w:cs="Arial"/>
          <w:noProof/>
        </w:rPr>
        <w:t>DCR: Diabetic Control Rats, DTRD: Diabetic Test Rats on Daonil</w:t>
      </w: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pPr>
    </w:p>
    <w:p w:rsidR="00BE324C" w:rsidRDefault="00BE324C" w:rsidP="00F671DA">
      <w:pPr>
        <w:jc w:val="both"/>
        <w:rPr>
          <w:rFonts w:ascii="Arial" w:hAnsi="Arial" w:cs="Arial"/>
          <w:b/>
          <w:noProof/>
          <w:u w:val="single"/>
        </w:rPr>
        <w:sectPr w:rsidR="00BE324C" w:rsidSect="005F3A7D">
          <w:pgSz w:w="16834" w:h="11909" w:orient="landscape" w:code="9"/>
          <w:pgMar w:top="1440" w:right="1440" w:bottom="1440" w:left="1440" w:header="720" w:footer="720" w:gutter="0"/>
          <w:cols w:space="720"/>
          <w:docGrid w:linePitch="360"/>
        </w:sectPr>
      </w:pPr>
    </w:p>
    <w:p w:rsidR="007D593C" w:rsidRPr="002A789B" w:rsidRDefault="00FF0324" w:rsidP="00F671DA">
      <w:pPr>
        <w:jc w:val="both"/>
        <w:rPr>
          <w:rFonts w:ascii="Arial" w:hAnsi="Arial" w:cs="Arial"/>
          <w:b/>
          <w:u w:val="single"/>
        </w:rPr>
      </w:pPr>
      <w:r w:rsidRPr="002A789B">
        <w:rPr>
          <w:rFonts w:ascii="Arial" w:hAnsi="Arial" w:cs="Arial"/>
          <w:b/>
          <w:u w:val="single"/>
        </w:rPr>
        <w:lastRenderedPageBreak/>
        <w:t>DISCUSSION</w:t>
      </w:r>
    </w:p>
    <w:p w:rsidR="00FF0324" w:rsidRPr="002A789B" w:rsidRDefault="00FF0324" w:rsidP="00F671DA">
      <w:pPr>
        <w:jc w:val="both"/>
        <w:rPr>
          <w:rFonts w:ascii="Arial" w:hAnsi="Arial" w:cs="Arial"/>
        </w:rPr>
      </w:pPr>
    </w:p>
    <w:p w:rsidR="00FF0324" w:rsidRPr="002A789B" w:rsidRDefault="002E37E5" w:rsidP="002E3EAD">
      <w:pPr>
        <w:spacing w:line="480" w:lineRule="auto"/>
        <w:jc w:val="both"/>
        <w:rPr>
          <w:rFonts w:ascii="Arial" w:hAnsi="Arial" w:cs="Arial"/>
        </w:rPr>
      </w:pPr>
      <w:r w:rsidRPr="002A789B">
        <w:rPr>
          <w:rFonts w:ascii="Arial" w:hAnsi="Arial" w:cs="Arial"/>
        </w:rPr>
        <w:t>We have studied the relationship between glycated h</w:t>
      </w:r>
      <w:r w:rsidR="00964587">
        <w:rPr>
          <w:rFonts w:ascii="Arial" w:hAnsi="Arial" w:cs="Arial"/>
        </w:rPr>
        <w:t>a</w:t>
      </w:r>
      <w:r w:rsidRPr="002A789B">
        <w:rPr>
          <w:rFonts w:ascii="Arial" w:hAnsi="Arial" w:cs="Arial"/>
        </w:rPr>
        <w:t>emoglobin and glucose using Type I diabetic models by induction with streptozotocin. Result show that rising glucose levels for the induced sample was due to the streptozotocin. Although it has been recommended that screening for diabetes be accomplished primarily by measuring fasting plasma glucose, fasting is inconvenient for</w:t>
      </w:r>
      <w:r w:rsidR="00910795" w:rsidRPr="002A789B">
        <w:rPr>
          <w:rFonts w:ascii="Arial" w:hAnsi="Arial" w:cs="Arial"/>
        </w:rPr>
        <w:t xml:space="preserve"> patients couple with failure of patient to fast properly. This can result is misdiagnosis of diabetes. In contrast HbA1C can be measured at any time </w:t>
      </w:r>
      <w:r w:rsidR="00C06B70" w:rsidRPr="002A789B">
        <w:rPr>
          <w:rFonts w:ascii="Arial" w:hAnsi="Arial" w:cs="Arial"/>
        </w:rPr>
        <w:t xml:space="preserve">of </w:t>
      </w:r>
      <w:r w:rsidR="00910795" w:rsidRPr="002A789B">
        <w:rPr>
          <w:rFonts w:ascii="Arial" w:hAnsi="Arial" w:cs="Arial"/>
        </w:rPr>
        <w:t>the day regardless of the length of fast or content of pre</w:t>
      </w:r>
      <w:r w:rsidR="006B1135" w:rsidRPr="002A789B">
        <w:rPr>
          <w:rFonts w:ascii="Arial" w:hAnsi="Arial" w:cs="Arial"/>
        </w:rPr>
        <w:t xml:space="preserve">vious </w:t>
      </w:r>
      <w:r w:rsidR="00910795" w:rsidRPr="002A789B">
        <w:rPr>
          <w:rFonts w:ascii="Arial" w:hAnsi="Arial" w:cs="Arial"/>
        </w:rPr>
        <w:t>meal all of which are advantages vitiated by fasting</w:t>
      </w:r>
      <w:r w:rsidR="00FD208A" w:rsidRPr="002A789B">
        <w:rPr>
          <w:rFonts w:ascii="Arial" w:hAnsi="Arial" w:cs="Arial"/>
        </w:rPr>
        <w:t xml:space="preserve"> blood sugar </w:t>
      </w:r>
      <w:r w:rsidR="00284AEB" w:rsidRPr="002A789B">
        <w:rPr>
          <w:rFonts w:ascii="Arial" w:hAnsi="Arial" w:cs="Arial"/>
        </w:rPr>
        <w:t>(</w:t>
      </w:r>
      <w:r w:rsidR="00FD208A" w:rsidRPr="002A789B">
        <w:rPr>
          <w:rFonts w:ascii="Arial" w:hAnsi="Arial" w:cs="Arial"/>
        </w:rPr>
        <w:t>FBG</w:t>
      </w:r>
      <w:r w:rsidR="00284AEB" w:rsidRPr="002A789B">
        <w:rPr>
          <w:rFonts w:ascii="Arial" w:hAnsi="Arial" w:cs="Arial"/>
        </w:rPr>
        <w:t>)</w:t>
      </w:r>
      <w:r w:rsidR="00FD208A" w:rsidRPr="002A789B">
        <w:rPr>
          <w:rFonts w:ascii="Arial" w:hAnsi="Arial" w:cs="Arial"/>
        </w:rPr>
        <w:t xml:space="preserve"> 2 hours post prandial glucose and even oral glucose toler</w:t>
      </w:r>
      <w:r w:rsidR="0032654B" w:rsidRPr="002A789B">
        <w:rPr>
          <w:rFonts w:ascii="Arial" w:hAnsi="Arial" w:cs="Arial"/>
        </w:rPr>
        <w:t>ance test</w:t>
      </w:r>
      <w:r w:rsidR="00FD208A" w:rsidRPr="002A789B">
        <w:rPr>
          <w:rFonts w:ascii="Arial" w:hAnsi="Arial" w:cs="Arial"/>
        </w:rPr>
        <w:t xml:space="preserve"> (OGTT). HbA1C can be analysed with a small amount of sample, as little as 5µl of blood obtained from a finger prick. HbA1C is a more</w:t>
      </w:r>
      <w:r w:rsidR="00CF4D8C" w:rsidRPr="002A789B">
        <w:rPr>
          <w:rFonts w:ascii="Arial" w:hAnsi="Arial" w:cs="Arial"/>
        </w:rPr>
        <w:t xml:space="preserve"> comprehensive measure of total glycemic exposure than fasting blood glucose in that it is a measure of plasma glucose not only in the fasting state but also in post prandial state. Here it can be a better pred</w:t>
      </w:r>
      <w:r w:rsidR="0080397D" w:rsidRPr="002A789B">
        <w:rPr>
          <w:rFonts w:ascii="Arial" w:hAnsi="Arial" w:cs="Arial"/>
        </w:rPr>
        <w:t>i</w:t>
      </w:r>
      <w:r w:rsidR="00CF4D8C" w:rsidRPr="002A789B">
        <w:rPr>
          <w:rFonts w:ascii="Arial" w:hAnsi="Arial" w:cs="Arial"/>
        </w:rPr>
        <w:t>ction of glycemic related complications.</w:t>
      </w:r>
    </w:p>
    <w:p w:rsidR="00CF4D8C" w:rsidRPr="002A789B" w:rsidRDefault="00CF4D8C" w:rsidP="002E37E5">
      <w:pPr>
        <w:jc w:val="both"/>
        <w:rPr>
          <w:rFonts w:ascii="Arial" w:hAnsi="Arial" w:cs="Arial"/>
        </w:rPr>
      </w:pPr>
    </w:p>
    <w:p w:rsidR="00CF4D8C" w:rsidRPr="002A789B" w:rsidRDefault="00CF4D8C" w:rsidP="002E3EAD">
      <w:pPr>
        <w:spacing w:line="480" w:lineRule="auto"/>
        <w:jc w:val="both"/>
        <w:rPr>
          <w:rFonts w:ascii="Arial" w:hAnsi="Arial" w:cs="Arial"/>
        </w:rPr>
      </w:pPr>
      <w:r w:rsidRPr="002A789B">
        <w:rPr>
          <w:rFonts w:ascii="Arial" w:hAnsi="Arial" w:cs="Arial"/>
        </w:rPr>
        <w:t>HbA1C is highly correlated with the presence of diabetic microvascular complications. As further demonstrated by Mc Lance et al (1994) HbA1C is as effective</w:t>
      </w:r>
      <w:r w:rsidR="002135B5" w:rsidRPr="002A789B">
        <w:rPr>
          <w:rFonts w:ascii="Arial" w:hAnsi="Arial" w:cs="Arial"/>
        </w:rPr>
        <w:t xml:space="preserve"> a predictor of microvascular complications as fasting plasma glucose. In an attempt to explain the complication of diabetes it is possible to state that the synthesis of HbA1C elicit a model reaction to elucidate the biochemical basis for many of the long term sequalae of diabetes. The tissues that suffer most noticeable dysfunction in diabetes (e.g. kidney, peripheral nerves, retina, lens) appear to be insulin dependent for glucose uptake. Studies point to the fact that in diabetes mellitus intracellular protein of these tissues undergo excess non-enzymatic glycosy</w:t>
      </w:r>
      <w:r w:rsidR="00A47D65" w:rsidRPr="002A789B">
        <w:rPr>
          <w:rFonts w:ascii="Arial" w:hAnsi="Arial" w:cs="Arial"/>
        </w:rPr>
        <w:t xml:space="preserve">lation </w:t>
      </w:r>
      <w:r w:rsidR="009D102D" w:rsidRPr="002A789B">
        <w:rPr>
          <w:rFonts w:ascii="Arial" w:hAnsi="Arial" w:cs="Arial"/>
        </w:rPr>
        <w:t xml:space="preserve">and </w:t>
      </w:r>
      <w:r w:rsidR="00A47D65" w:rsidRPr="002A789B">
        <w:rPr>
          <w:rFonts w:ascii="Arial" w:hAnsi="Arial" w:cs="Arial"/>
        </w:rPr>
        <w:t xml:space="preserve">are known to alter the enzymatic activity, </w:t>
      </w:r>
      <w:r w:rsidR="006846D8" w:rsidRPr="002A789B">
        <w:rPr>
          <w:rFonts w:ascii="Arial" w:hAnsi="Arial" w:cs="Arial"/>
        </w:rPr>
        <w:t>solu</w:t>
      </w:r>
      <w:r w:rsidR="00A47D65" w:rsidRPr="002A789B">
        <w:rPr>
          <w:rFonts w:ascii="Arial" w:hAnsi="Arial" w:cs="Arial"/>
        </w:rPr>
        <w:t>bi</w:t>
      </w:r>
      <w:r w:rsidR="006846D8" w:rsidRPr="002A789B">
        <w:rPr>
          <w:rFonts w:ascii="Arial" w:hAnsi="Arial" w:cs="Arial"/>
        </w:rPr>
        <w:t>li</w:t>
      </w:r>
      <w:r w:rsidR="00A47D65" w:rsidRPr="002A789B">
        <w:rPr>
          <w:rFonts w:ascii="Arial" w:hAnsi="Arial" w:cs="Arial"/>
        </w:rPr>
        <w:t>ty</w:t>
      </w:r>
      <w:r w:rsidR="00623BB4" w:rsidRPr="002A789B">
        <w:rPr>
          <w:rFonts w:ascii="Arial" w:hAnsi="Arial" w:cs="Arial"/>
        </w:rPr>
        <w:t>,</w:t>
      </w:r>
      <w:r w:rsidR="00A47D65" w:rsidRPr="002A789B">
        <w:rPr>
          <w:rFonts w:ascii="Arial" w:hAnsi="Arial" w:cs="Arial"/>
        </w:rPr>
        <w:t xml:space="preserve"> antigenicity and </w:t>
      </w:r>
      <w:r w:rsidR="00A47D65" w:rsidRPr="002A789B">
        <w:rPr>
          <w:rFonts w:ascii="Arial" w:hAnsi="Arial" w:cs="Arial"/>
        </w:rPr>
        <w:lastRenderedPageBreak/>
        <w:t>other functions of protein which accounts for the observed clinical dysfunction. As earlier shown by</w:t>
      </w:r>
      <w:r w:rsidR="00674984" w:rsidRPr="002A789B">
        <w:rPr>
          <w:rFonts w:ascii="Arial" w:hAnsi="Arial" w:cs="Arial"/>
        </w:rPr>
        <w:t xml:space="preserve"> Bucarelli et al (2003), Na</w:t>
      </w:r>
      <w:r w:rsidR="00623BB4" w:rsidRPr="002A789B">
        <w:rPr>
          <w:rFonts w:ascii="Arial" w:hAnsi="Arial" w:cs="Arial"/>
        </w:rPr>
        <w:t>k</w:t>
      </w:r>
      <w:r w:rsidR="00674984" w:rsidRPr="002A789B">
        <w:rPr>
          <w:rFonts w:ascii="Arial" w:hAnsi="Arial" w:cs="Arial"/>
        </w:rPr>
        <w:t>a et al (2004), Vlassra (2005)</w:t>
      </w:r>
      <w:r w:rsidR="00206E4A" w:rsidRPr="002A789B">
        <w:rPr>
          <w:rFonts w:ascii="Arial" w:hAnsi="Arial" w:cs="Arial"/>
        </w:rPr>
        <w:t>,</w:t>
      </w:r>
      <w:r w:rsidR="00674984" w:rsidRPr="002A789B">
        <w:rPr>
          <w:rFonts w:ascii="Arial" w:hAnsi="Arial" w:cs="Arial"/>
        </w:rPr>
        <w:t xml:space="preserve"> </w:t>
      </w:r>
      <w:r w:rsidR="00206E4A" w:rsidRPr="002A789B">
        <w:rPr>
          <w:rFonts w:ascii="Arial" w:hAnsi="Arial" w:cs="Arial"/>
        </w:rPr>
        <w:t>t</w:t>
      </w:r>
      <w:r w:rsidR="00674984" w:rsidRPr="002A789B">
        <w:rPr>
          <w:rFonts w:ascii="Arial" w:hAnsi="Arial" w:cs="Arial"/>
        </w:rPr>
        <w:t>here is</w:t>
      </w:r>
      <w:r w:rsidR="00627E72" w:rsidRPr="002A789B">
        <w:rPr>
          <w:rFonts w:ascii="Arial" w:hAnsi="Arial" w:cs="Arial"/>
        </w:rPr>
        <w:t xml:space="preserve"> increasing</w:t>
      </w:r>
      <w:r w:rsidR="00674984" w:rsidRPr="002A789B">
        <w:rPr>
          <w:rFonts w:ascii="Arial" w:hAnsi="Arial" w:cs="Arial"/>
        </w:rPr>
        <w:t xml:space="preserve"> evidence to support that inhibition of advanced glycated end products (AGEs) or blockade of their down stream signaling pathway could be a promising</w:t>
      </w:r>
      <w:r w:rsidR="009C56FB" w:rsidRPr="002A789B">
        <w:rPr>
          <w:rFonts w:ascii="Arial" w:hAnsi="Arial" w:cs="Arial"/>
        </w:rPr>
        <w:t xml:space="preserve"> strategy for treatment of patients with diabetic complication.</w:t>
      </w:r>
    </w:p>
    <w:p w:rsidR="00902852" w:rsidRPr="002A789B" w:rsidRDefault="00902852" w:rsidP="002E37E5">
      <w:pPr>
        <w:jc w:val="both"/>
        <w:rPr>
          <w:rFonts w:ascii="Arial" w:hAnsi="Arial" w:cs="Arial"/>
        </w:rPr>
      </w:pPr>
    </w:p>
    <w:p w:rsidR="00902852" w:rsidRPr="002A789B" w:rsidRDefault="00902852" w:rsidP="002E3EAD">
      <w:pPr>
        <w:spacing w:line="480" w:lineRule="auto"/>
        <w:jc w:val="both"/>
        <w:rPr>
          <w:rFonts w:ascii="Arial" w:hAnsi="Arial" w:cs="Arial"/>
        </w:rPr>
      </w:pPr>
      <w:r w:rsidRPr="002A789B">
        <w:rPr>
          <w:rFonts w:ascii="Arial" w:hAnsi="Arial" w:cs="Arial"/>
        </w:rPr>
        <w:t>We have used correlation coefficient to measure the strength of the bivariate association of HbA1C and glucose and with regression to predict values of HbA1C for a given glucose concentration.</w:t>
      </w:r>
    </w:p>
    <w:p w:rsidR="00902852" w:rsidRPr="002A789B" w:rsidRDefault="00902852" w:rsidP="002E37E5">
      <w:pPr>
        <w:jc w:val="both"/>
        <w:rPr>
          <w:rFonts w:ascii="Arial" w:hAnsi="Arial" w:cs="Arial"/>
        </w:rPr>
      </w:pPr>
    </w:p>
    <w:p w:rsidR="00515A86" w:rsidRPr="002A789B" w:rsidRDefault="005C28FD" w:rsidP="005C28FD">
      <w:pPr>
        <w:jc w:val="center"/>
        <w:rPr>
          <w:rFonts w:ascii="Arial" w:hAnsi="Arial" w:cs="Arial"/>
        </w:rPr>
      </w:pPr>
      <w:r w:rsidRPr="002A789B">
        <w:rPr>
          <w:rFonts w:ascii="Arial" w:hAnsi="Arial" w:cs="Arial"/>
        </w:rPr>
        <w:br w:type="page"/>
      </w:r>
      <w:r w:rsidR="008F4479" w:rsidRPr="002A789B">
        <w:rPr>
          <w:rFonts w:ascii="Arial" w:hAnsi="Arial" w:cs="Arial"/>
          <w:b/>
        </w:rPr>
        <w:lastRenderedPageBreak/>
        <w:t>REFERENCES</w:t>
      </w:r>
    </w:p>
    <w:p w:rsidR="008F4479" w:rsidRPr="002A789B" w:rsidRDefault="008F4479" w:rsidP="00FD5B27">
      <w:pPr>
        <w:spacing w:line="480" w:lineRule="auto"/>
        <w:rPr>
          <w:rFonts w:ascii="Arial" w:hAnsi="Arial" w:cs="Arial"/>
          <w:b/>
        </w:rPr>
      </w:pPr>
    </w:p>
    <w:p w:rsidR="001566CC" w:rsidRPr="002A789B" w:rsidRDefault="009F24E9" w:rsidP="0096303F">
      <w:pPr>
        <w:jc w:val="both"/>
        <w:rPr>
          <w:rFonts w:ascii="Arial" w:hAnsi="Arial" w:cs="Arial"/>
        </w:rPr>
      </w:pPr>
      <w:r w:rsidRPr="002A789B">
        <w:rPr>
          <w:rFonts w:ascii="Arial" w:hAnsi="Arial" w:cs="Arial"/>
        </w:rPr>
        <w:t>Brown</w:t>
      </w:r>
      <w:r w:rsidR="007F1793" w:rsidRPr="002A789B">
        <w:rPr>
          <w:rFonts w:ascii="Arial" w:hAnsi="Arial" w:cs="Arial"/>
        </w:rPr>
        <w:t>l</w:t>
      </w:r>
      <w:r w:rsidRPr="002A789B">
        <w:rPr>
          <w:rFonts w:ascii="Arial" w:hAnsi="Arial" w:cs="Arial"/>
        </w:rPr>
        <w:t>ee M, Cerami A., Vlassara H. (1988) Advanced glycosylation end</w:t>
      </w:r>
    </w:p>
    <w:p w:rsidR="008F4479" w:rsidRPr="002A789B" w:rsidRDefault="009F24E9" w:rsidP="00CA4092">
      <w:pPr>
        <w:ind w:left="540"/>
        <w:jc w:val="both"/>
        <w:rPr>
          <w:rFonts w:ascii="Arial" w:hAnsi="Arial" w:cs="Arial"/>
        </w:rPr>
      </w:pPr>
      <w:r w:rsidRPr="002A789B">
        <w:rPr>
          <w:rFonts w:ascii="Arial" w:hAnsi="Arial" w:cs="Arial"/>
        </w:rPr>
        <w:t>products in tissue and the Biochemical basis of diabetic complication. N.Engl 318:1315-21</w:t>
      </w:r>
    </w:p>
    <w:p w:rsidR="009F24E9" w:rsidRPr="002A789B" w:rsidRDefault="009F24E9" w:rsidP="00FD5B27">
      <w:pPr>
        <w:spacing w:line="480" w:lineRule="auto"/>
        <w:jc w:val="both"/>
        <w:rPr>
          <w:rFonts w:ascii="Arial" w:hAnsi="Arial" w:cs="Arial"/>
        </w:rPr>
      </w:pPr>
    </w:p>
    <w:p w:rsidR="001566CC" w:rsidRPr="002A789B" w:rsidRDefault="009F24E9" w:rsidP="0096303F">
      <w:pPr>
        <w:jc w:val="both"/>
        <w:rPr>
          <w:rFonts w:ascii="Arial" w:hAnsi="Arial" w:cs="Arial"/>
        </w:rPr>
      </w:pPr>
      <w:r w:rsidRPr="002A789B">
        <w:rPr>
          <w:rFonts w:ascii="Arial" w:hAnsi="Arial" w:cs="Arial"/>
        </w:rPr>
        <w:t>Bucala R., Vlasara H., (1995) Avanced glycosylation end products in</w:t>
      </w:r>
    </w:p>
    <w:p w:rsidR="009F24E9" w:rsidRPr="002A789B" w:rsidRDefault="009F24E9" w:rsidP="00CA4092">
      <w:pPr>
        <w:tabs>
          <w:tab w:val="left" w:pos="540"/>
        </w:tabs>
        <w:jc w:val="both"/>
        <w:rPr>
          <w:rFonts w:ascii="Arial" w:hAnsi="Arial" w:cs="Arial"/>
        </w:rPr>
      </w:pPr>
      <w:r w:rsidRPr="002A789B">
        <w:rPr>
          <w:rFonts w:ascii="Arial" w:hAnsi="Arial" w:cs="Arial"/>
        </w:rPr>
        <w:t xml:space="preserve"> </w:t>
      </w:r>
      <w:r w:rsidR="00CA4092">
        <w:rPr>
          <w:rFonts w:ascii="Arial" w:hAnsi="Arial" w:cs="Arial"/>
        </w:rPr>
        <w:tab/>
      </w:r>
      <w:r w:rsidRPr="002A789B">
        <w:rPr>
          <w:rFonts w:ascii="Arial" w:hAnsi="Arial" w:cs="Arial"/>
        </w:rPr>
        <w:t>diabetic renal and vascular disease. Am J. Kid Ais 26:875-888</w:t>
      </w:r>
    </w:p>
    <w:p w:rsidR="009F24E9" w:rsidRPr="002A789B" w:rsidRDefault="009F24E9" w:rsidP="00FD5B27">
      <w:pPr>
        <w:spacing w:line="480" w:lineRule="auto"/>
        <w:jc w:val="both"/>
        <w:rPr>
          <w:rFonts w:ascii="Arial" w:hAnsi="Arial" w:cs="Arial"/>
        </w:rPr>
      </w:pPr>
    </w:p>
    <w:p w:rsidR="001566CC" w:rsidRPr="002A789B" w:rsidRDefault="00D561B5" w:rsidP="0096303F">
      <w:pPr>
        <w:jc w:val="both"/>
        <w:rPr>
          <w:rFonts w:ascii="Arial" w:hAnsi="Arial" w:cs="Arial"/>
        </w:rPr>
      </w:pPr>
      <w:r w:rsidRPr="002A789B">
        <w:rPr>
          <w:rFonts w:ascii="Arial" w:hAnsi="Arial" w:cs="Arial"/>
        </w:rPr>
        <w:t>Glomb M.A., Monier V.M., (1995) Mechanism of protein modification by</w:t>
      </w:r>
    </w:p>
    <w:p w:rsidR="009F24E9" w:rsidRPr="002A789B" w:rsidRDefault="00D561B5" w:rsidP="00CA4092">
      <w:pPr>
        <w:ind w:left="540"/>
        <w:jc w:val="both"/>
        <w:rPr>
          <w:rFonts w:ascii="Arial" w:hAnsi="Arial" w:cs="Arial"/>
        </w:rPr>
      </w:pPr>
      <w:r w:rsidRPr="002A789B">
        <w:rPr>
          <w:rFonts w:ascii="Arial" w:hAnsi="Arial" w:cs="Arial"/>
        </w:rPr>
        <w:t>glyoxal and glycoaldehyde, reactive intermediates of the milliard reaction. J. Biol chem. 70:10017-26</w:t>
      </w:r>
    </w:p>
    <w:p w:rsidR="00D561B5" w:rsidRPr="002A789B" w:rsidRDefault="00D561B5" w:rsidP="00FD5B27">
      <w:pPr>
        <w:spacing w:line="480" w:lineRule="auto"/>
        <w:jc w:val="both"/>
        <w:rPr>
          <w:rFonts w:ascii="Arial" w:hAnsi="Arial" w:cs="Arial"/>
        </w:rPr>
      </w:pPr>
    </w:p>
    <w:p w:rsidR="001566CC" w:rsidRPr="002A789B" w:rsidRDefault="003273F0" w:rsidP="0096303F">
      <w:pPr>
        <w:jc w:val="both"/>
        <w:rPr>
          <w:rFonts w:ascii="Arial" w:hAnsi="Arial" w:cs="Arial"/>
        </w:rPr>
      </w:pPr>
      <w:r w:rsidRPr="002A789B">
        <w:rPr>
          <w:rFonts w:ascii="Arial" w:hAnsi="Arial" w:cs="Arial"/>
        </w:rPr>
        <w:t>Grandhee S.K., Monier V.M., (1991) Mechanism of formation of Milliard</w:t>
      </w:r>
    </w:p>
    <w:p w:rsidR="00D561B5" w:rsidRPr="002A789B" w:rsidRDefault="003273F0" w:rsidP="00FD5B27">
      <w:pPr>
        <w:ind w:left="540"/>
        <w:jc w:val="both"/>
        <w:rPr>
          <w:rFonts w:ascii="Arial" w:hAnsi="Arial" w:cs="Arial"/>
        </w:rPr>
      </w:pPr>
      <w:r w:rsidRPr="002A789B">
        <w:rPr>
          <w:rFonts w:ascii="Arial" w:hAnsi="Arial" w:cs="Arial"/>
        </w:rPr>
        <w:t>protein cross-link pentosidine. Glucose, fructose, and ascorbate as pentosidine precusros. J. Biol Chem. 266:11649-53</w:t>
      </w:r>
    </w:p>
    <w:p w:rsidR="003273F0" w:rsidRPr="002A789B" w:rsidRDefault="003273F0" w:rsidP="00FD5B27">
      <w:pPr>
        <w:spacing w:line="480" w:lineRule="auto"/>
        <w:jc w:val="both"/>
        <w:rPr>
          <w:rFonts w:ascii="Arial" w:hAnsi="Arial" w:cs="Arial"/>
        </w:rPr>
      </w:pPr>
    </w:p>
    <w:p w:rsidR="001566CC" w:rsidRPr="002A789B" w:rsidRDefault="003273F0" w:rsidP="0096303F">
      <w:pPr>
        <w:jc w:val="both"/>
        <w:rPr>
          <w:rFonts w:ascii="Arial" w:hAnsi="Arial" w:cs="Arial"/>
        </w:rPr>
      </w:pPr>
      <w:r w:rsidRPr="002A789B">
        <w:rPr>
          <w:rFonts w:ascii="Arial" w:hAnsi="Arial" w:cs="Arial"/>
        </w:rPr>
        <w:t xml:space="preserve">Kilpatrick E.S., Maylor P.W., Keevil B.G., (1998). Biological variation of </w:t>
      </w:r>
    </w:p>
    <w:p w:rsidR="003273F0" w:rsidRPr="002A789B" w:rsidRDefault="003273F0" w:rsidP="00FD5B27">
      <w:pPr>
        <w:ind w:left="540"/>
        <w:jc w:val="both"/>
        <w:rPr>
          <w:rFonts w:ascii="Arial" w:hAnsi="Arial" w:cs="Arial"/>
        </w:rPr>
      </w:pPr>
      <w:r w:rsidRPr="002A789B">
        <w:rPr>
          <w:rFonts w:ascii="Arial" w:hAnsi="Arial" w:cs="Arial"/>
        </w:rPr>
        <w:t>glycated hemoglobin: Implications for diabetes screening and monitoring. Diabetes Care 21:261-264.</w:t>
      </w:r>
    </w:p>
    <w:p w:rsidR="003273F0" w:rsidRPr="002A789B" w:rsidRDefault="003273F0" w:rsidP="00FD5B27">
      <w:pPr>
        <w:spacing w:line="480" w:lineRule="auto"/>
        <w:jc w:val="both"/>
        <w:rPr>
          <w:rFonts w:ascii="Arial" w:hAnsi="Arial" w:cs="Arial"/>
        </w:rPr>
      </w:pPr>
    </w:p>
    <w:p w:rsidR="001566CC" w:rsidRPr="002A789B" w:rsidRDefault="00C50158" w:rsidP="0096303F">
      <w:pPr>
        <w:jc w:val="both"/>
        <w:rPr>
          <w:rFonts w:ascii="Arial" w:hAnsi="Arial" w:cs="Arial"/>
        </w:rPr>
      </w:pPr>
      <w:r w:rsidRPr="002A789B">
        <w:rPr>
          <w:rFonts w:ascii="Arial" w:hAnsi="Arial" w:cs="Arial"/>
        </w:rPr>
        <w:t>Matsumura, Yamagishi S., Brownlee M., La Leroith D., Taylor S.I.,</w:t>
      </w:r>
    </w:p>
    <w:p w:rsidR="003273F0" w:rsidRPr="002A789B" w:rsidRDefault="00C50158" w:rsidP="00FD5B27">
      <w:pPr>
        <w:ind w:left="540"/>
        <w:jc w:val="both"/>
        <w:rPr>
          <w:rFonts w:ascii="Arial" w:hAnsi="Arial" w:cs="Arial"/>
        </w:rPr>
      </w:pPr>
      <w:r w:rsidRPr="002A789B">
        <w:rPr>
          <w:rFonts w:ascii="Arial" w:hAnsi="Arial" w:cs="Arial"/>
        </w:rPr>
        <w:t>Olefsky J.M. Ed (2000). A</w:t>
      </w:r>
      <w:r w:rsidR="001566CC" w:rsidRPr="002A789B">
        <w:rPr>
          <w:rFonts w:ascii="Arial" w:hAnsi="Arial" w:cs="Arial"/>
        </w:rPr>
        <w:t>d</w:t>
      </w:r>
      <w:r w:rsidRPr="002A789B">
        <w:rPr>
          <w:rFonts w:ascii="Arial" w:hAnsi="Arial" w:cs="Arial"/>
        </w:rPr>
        <w:t>vanced glycation end products and the pathogenesis of diabetic complications. Diabetes mellitin: A fundamental and clinical Text. New York, Lippincott-Raven Publishers, 983-91.</w:t>
      </w:r>
    </w:p>
    <w:p w:rsidR="00C50158" w:rsidRPr="002A789B" w:rsidRDefault="00C50158" w:rsidP="00FD5B27">
      <w:pPr>
        <w:spacing w:line="480" w:lineRule="auto"/>
        <w:jc w:val="both"/>
        <w:rPr>
          <w:rFonts w:ascii="Arial" w:hAnsi="Arial" w:cs="Arial"/>
        </w:rPr>
      </w:pPr>
    </w:p>
    <w:p w:rsidR="001566CC" w:rsidRPr="002A789B" w:rsidRDefault="00C50158" w:rsidP="0096303F">
      <w:pPr>
        <w:jc w:val="both"/>
        <w:rPr>
          <w:rFonts w:ascii="Arial" w:hAnsi="Arial" w:cs="Arial"/>
        </w:rPr>
      </w:pPr>
      <w:r w:rsidRPr="002A789B">
        <w:rPr>
          <w:rFonts w:ascii="Arial" w:hAnsi="Arial" w:cs="Arial"/>
        </w:rPr>
        <w:t>Mc Cance D.R., Hanson R.L., Charles M.A., Jacobsson L.T., Pettit D.J.,</w:t>
      </w:r>
    </w:p>
    <w:p w:rsidR="00C50158" w:rsidRPr="002A789B" w:rsidRDefault="00C50158" w:rsidP="00FD5B27">
      <w:pPr>
        <w:ind w:left="540"/>
        <w:jc w:val="both"/>
        <w:rPr>
          <w:rFonts w:ascii="Arial" w:hAnsi="Arial" w:cs="Arial"/>
        </w:rPr>
      </w:pPr>
      <w:r w:rsidRPr="002A789B">
        <w:rPr>
          <w:rFonts w:ascii="Arial" w:hAnsi="Arial" w:cs="Arial"/>
        </w:rPr>
        <w:t>Bennet P.H., Knowler W.C., (1994). Comparison of tests for glycated hemoglobin and fasting and two hours plasma glucose concentrations as diagnostic methods for diabetes. B.M.Y 308:1323-1328</w:t>
      </w:r>
    </w:p>
    <w:p w:rsidR="00C50158" w:rsidRPr="002A789B" w:rsidRDefault="00C50158" w:rsidP="00FD5B27">
      <w:pPr>
        <w:spacing w:line="480" w:lineRule="auto"/>
        <w:jc w:val="both"/>
        <w:rPr>
          <w:rFonts w:ascii="Arial" w:hAnsi="Arial" w:cs="Arial"/>
        </w:rPr>
      </w:pPr>
    </w:p>
    <w:p w:rsidR="001566CC" w:rsidRPr="002A789B" w:rsidRDefault="00DF1F2F" w:rsidP="0096303F">
      <w:pPr>
        <w:jc w:val="both"/>
        <w:rPr>
          <w:rFonts w:ascii="Arial" w:hAnsi="Arial" w:cs="Arial"/>
        </w:rPr>
      </w:pPr>
      <w:r w:rsidRPr="002A789B">
        <w:rPr>
          <w:rFonts w:ascii="Arial" w:hAnsi="Arial" w:cs="Arial"/>
        </w:rPr>
        <w:t>Sho-Ichi Yamagishi, Kazuo N., Tsutomu L., (2005). A</w:t>
      </w:r>
      <w:r w:rsidR="001566CC" w:rsidRPr="002A789B">
        <w:rPr>
          <w:rFonts w:ascii="Arial" w:hAnsi="Arial" w:cs="Arial"/>
        </w:rPr>
        <w:t>d</w:t>
      </w:r>
      <w:r w:rsidRPr="002A789B">
        <w:rPr>
          <w:rFonts w:ascii="Arial" w:hAnsi="Arial" w:cs="Arial"/>
        </w:rPr>
        <w:t>vanced glycated</w:t>
      </w:r>
    </w:p>
    <w:p w:rsidR="00C50158" w:rsidRPr="002A789B" w:rsidRDefault="00DF1F2F" w:rsidP="00FD5B27">
      <w:pPr>
        <w:ind w:left="540"/>
        <w:jc w:val="both"/>
        <w:rPr>
          <w:rFonts w:ascii="Arial" w:hAnsi="Arial" w:cs="Arial"/>
        </w:rPr>
      </w:pPr>
      <w:r w:rsidRPr="002A789B">
        <w:rPr>
          <w:rFonts w:ascii="Arial" w:hAnsi="Arial" w:cs="Arial"/>
        </w:rPr>
        <w:t>end products (AGEs) and diabetic vascular complications. Curr Diabetes Review 1,93-106</w:t>
      </w:r>
    </w:p>
    <w:p w:rsidR="00DF1F2F" w:rsidRPr="002A789B" w:rsidRDefault="00DF1F2F" w:rsidP="00FD5B27">
      <w:pPr>
        <w:spacing w:line="480" w:lineRule="auto"/>
        <w:jc w:val="both"/>
        <w:rPr>
          <w:rFonts w:ascii="Arial" w:hAnsi="Arial" w:cs="Arial"/>
        </w:rPr>
      </w:pPr>
    </w:p>
    <w:p w:rsidR="001566CC" w:rsidRPr="002A789B" w:rsidRDefault="00DF1F2F" w:rsidP="0096303F">
      <w:pPr>
        <w:jc w:val="both"/>
        <w:rPr>
          <w:rFonts w:ascii="Arial" w:hAnsi="Arial" w:cs="Arial"/>
        </w:rPr>
      </w:pPr>
      <w:r w:rsidRPr="002A789B">
        <w:rPr>
          <w:rFonts w:ascii="Arial" w:hAnsi="Arial" w:cs="Arial"/>
        </w:rPr>
        <w:t>Takeuchi M., Yamagishi S., (2004). Alternative routes for the formation</w:t>
      </w:r>
    </w:p>
    <w:p w:rsidR="00DF1F2F" w:rsidRPr="002A789B" w:rsidRDefault="00DF1F2F" w:rsidP="00FD5B27">
      <w:pPr>
        <w:ind w:left="540"/>
        <w:jc w:val="both"/>
        <w:rPr>
          <w:rFonts w:ascii="Arial" w:hAnsi="Arial" w:cs="Arial"/>
        </w:rPr>
      </w:pPr>
      <w:r w:rsidRPr="002A789B">
        <w:rPr>
          <w:rFonts w:ascii="Arial" w:hAnsi="Arial" w:cs="Arial"/>
        </w:rPr>
        <w:t xml:space="preserve">of glyceraldhyde-derived AGEs (TAGE) </w:t>
      </w:r>
      <w:r w:rsidRPr="002A789B">
        <w:rPr>
          <w:rFonts w:ascii="Arial" w:hAnsi="Arial" w:cs="Arial"/>
          <w:i/>
        </w:rPr>
        <w:t>in vivio</w:t>
      </w:r>
      <w:r w:rsidRPr="002A789B">
        <w:rPr>
          <w:rFonts w:ascii="Arial" w:hAnsi="Arial" w:cs="Arial"/>
        </w:rPr>
        <w:t>. Med. Hypotheses. 63:453-5</w:t>
      </w:r>
    </w:p>
    <w:p w:rsidR="009C4847" w:rsidRDefault="009C4847" w:rsidP="00FD5B27">
      <w:pPr>
        <w:spacing w:line="480" w:lineRule="auto"/>
        <w:jc w:val="both"/>
        <w:rPr>
          <w:rFonts w:ascii="Arial" w:hAnsi="Arial" w:cs="Arial"/>
        </w:rPr>
      </w:pPr>
    </w:p>
    <w:p w:rsidR="00FD5B27" w:rsidRPr="002A789B" w:rsidRDefault="00FD5B27" w:rsidP="00FD5B27">
      <w:pPr>
        <w:spacing w:line="480" w:lineRule="auto"/>
        <w:jc w:val="both"/>
        <w:rPr>
          <w:rFonts w:ascii="Arial" w:hAnsi="Arial" w:cs="Arial"/>
        </w:rPr>
      </w:pPr>
    </w:p>
    <w:p w:rsidR="009C4847" w:rsidRPr="002A789B" w:rsidRDefault="00DF1F2F" w:rsidP="0096303F">
      <w:pPr>
        <w:jc w:val="both"/>
        <w:rPr>
          <w:rFonts w:ascii="Arial" w:hAnsi="Arial" w:cs="Arial"/>
        </w:rPr>
      </w:pPr>
      <w:r w:rsidRPr="002A789B">
        <w:rPr>
          <w:rFonts w:ascii="Arial" w:hAnsi="Arial" w:cs="Arial"/>
        </w:rPr>
        <w:lastRenderedPageBreak/>
        <w:t>Takeuchi M., Monier V.M., Sasaki N., et al (2004). Involvement of</w:t>
      </w:r>
    </w:p>
    <w:p w:rsidR="00DF1F2F" w:rsidRPr="002A789B" w:rsidRDefault="00DF1F2F" w:rsidP="00FD5B27">
      <w:pPr>
        <w:ind w:left="540"/>
        <w:jc w:val="both"/>
        <w:rPr>
          <w:rFonts w:ascii="Arial" w:hAnsi="Arial" w:cs="Arial"/>
        </w:rPr>
      </w:pPr>
      <w:r w:rsidRPr="002A789B">
        <w:rPr>
          <w:rFonts w:ascii="Arial" w:hAnsi="Arial" w:cs="Arial"/>
        </w:rPr>
        <w:t>advanced glycation end products (AGEs) in Alzyheimers disease. Curr Alzheimer Research. 1:39-46</w:t>
      </w:r>
    </w:p>
    <w:p w:rsidR="00DF1F2F" w:rsidRPr="002A789B" w:rsidRDefault="00DF1F2F" w:rsidP="00FD5B27">
      <w:pPr>
        <w:spacing w:line="480" w:lineRule="auto"/>
        <w:jc w:val="both"/>
        <w:rPr>
          <w:rFonts w:ascii="Arial" w:hAnsi="Arial" w:cs="Arial"/>
        </w:rPr>
      </w:pPr>
    </w:p>
    <w:p w:rsidR="009C4847" w:rsidRPr="002A789B" w:rsidRDefault="00DF1F2F" w:rsidP="0096303F">
      <w:pPr>
        <w:jc w:val="both"/>
        <w:rPr>
          <w:rFonts w:ascii="Arial" w:hAnsi="Arial" w:cs="Arial"/>
        </w:rPr>
      </w:pPr>
      <w:r w:rsidRPr="002A789B">
        <w:rPr>
          <w:rFonts w:ascii="Arial" w:hAnsi="Arial" w:cs="Arial"/>
        </w:rPr>
        <w:t>Voss E.M., Cembrowski G.S., Clasen B.L., Spencer M.L, Ainslie M.B.,</w:t>
      </w:r>
    </w:p>
    <w:p w:rsidR="00DF1F2F" w:rsidRPr="002A789B" w:rsidRDefault="00DF1F2F" w:rsidP="00FD5B27">
      <w:pPr>
        <w:ind w:left="540"/>
        <w:jc w:val="both"/>
        <w:rPr>
          <w:rFonts w:ascii="Arial" w:hAnsi="Arial" w:cs="Arial"/>
        </w:rPr>
      </w:pPr>
      <w:r w:rsidRPr="002A789B">
        <w:rPr>
          <w:rFonts w:ascii="Arial" w:hAnsi="Arial" w:cs="Arial"/>
        </w:rPr>
        <w:t>Haig B., (1992). Evaluation of capillary collection system for HbA1C specimens. Diabetes Care 15:700-701.</w:t>
      </w:r>
    </w:p>
    <w:p w:rsidR="00DF1F2F" w:rsidRPr="002A789B" w:rsidRDefault="00DF1F2F" w:rsidP="00FD5B27">
      <w:pPr>
        <w:spacing w:line="480" w:lineRule="auto"/>
        <w:jc w:val="both"/>
        <w:rPr>
          <w:rFonts w:ascii="Arial" w:hAnsi="Arial" w:cs="Arial"/>
        </w:rPr>
      </w:pPr>
    </w:p>
    <w:p w:rsidR="009C4847" w:rsidRPr="002A789B" w:rsidRDefault="00DF1F2F" w:rsidP="0096303F">
      <w:pPr>
        <w:jc w:val="both"/>
        <w:rPr>
          <w:rFonts w:ascii="Arial" w:hAnsi="Arial" w:cs="Arial"/>
        </w:rPr>
      </w:pPr>
      <w:r w:rsidRPr="002A789B">
        <w:rPr>
          <w:rFonts w:ascii="Arial" w:hAnsi="Arial" w:cs="Arial"/>
        </w:rPr>
        <w:t>Wollfenbuttel B.H., Giordano D., Found H.W., Brucalla R., (1980). Long-</w:t>
      </w:r>
    </w:p>
    <w:p w:rsidR="00DF1F2F" w:rsidRPr="002A789B" w:rsidRDefault="00DF1F2F" w:rsidP="00FD5B27">
      <w:pPr>
        <w:ind w:left="540"/>
        <w:jc w:val="both"/>
        <w:rPr>
          <w:rFonts w:ascii="Arial" w:hAnsi="Arial" w:cs="Arial"/>
        </w:rPr>
      </w:pPr>
      <w:r w:rsidRPr="002A789B">
        <w:rPr>
          <w:rFonts w:ascii="Arial" w:hAnsi="Arial" w:cs="Arial"/>
        </w:rPr>
        <w:t>term assessment of glucose control by hemoglobin-AGE measurement. Clin Lab Haematol. 2:129-138.</w:t>
      </w:r>
    </w:p>
    <w:p w:rsidR="00DF1F2F" w:rsidRPr="002A789B" w:rsidRDefault="00DF1F2F" w:rsidP="00FD5B27">
      <w:pPr>
        <w:spacing w:line="480" w:lineRule="auto"/>
        <w:jc w:val="both"/>
        <w:rPr>
          <w:rFonts w:ascii="Arial" w:hAnsi="Arial" w:cs="Arial"/>
        </w:rPr>
      </w:pPr>
    </w:p>
    <w:p w:rsidR="009C4847" w:rsidRPr="002A789B" w:rsidRDefault="00DF1F2F" w:rsidP="0096303F">
      <w:pPr>
        <w:jc w:val="both"/>
        <w:rPr>
          <w:rFonts w:ascii="Arial" w:hAnsi="Arial" w:cs="Arial"/>
        </w:rPr>
      </w:pPr>
      <w:r w:rsidRPr="002A789B">
        <w:rPr>
          <w:rFonts w:ascii="Arial" w:hAnsi="Arial" w:cs="Arial"/>
        </w:rPr>
        <w:t>World Health Organisation (1980). WHO Expert Committee on Diabetes:</w:t>
      </w:r>
    </w:p>
    <w:p w:rsidR="00DF1F2F" w:rsidRPr="002A789B" w:rsidRDefault="00DF1F2F" w:rsidP="00FD5B27">
      <w:pPr>
        <w:tabs>
          <w:tab w:val="left" w:pos="540"/>
        </w:tabs>
        <w:jc w:val="both"/>
        <w:rPr>
          <w:rFonts w:ascii="Arial" w:hAnsi="Arial" w:cs="Arial"/>
        </w:rPr>
      </w:pPr>
      <w:r w:rsidRPr="002A789B">
        <w:rPr>
          <w:rFonts w:ascii="Arial" w:hAnsi="Arial" w:cs="Arial"/>
        </w:rPr>
        <w:t xml:space="preserve"> </w:t>
      </w:r>
      <w:r w:rsidR="009C4847" w:rsidRPr="002A789B">
        <w:rPr>
          <w:rFonts w:ascii="Arial" w:hAnsi="Arial" w:cs="Arial"/>
        </w:rPr>
        <w:tab/>
      </w:r>
      <w:r w:rsidRPr="002A789B">
        <w:rPr>
          <w:rFonts w:ascii="Arial" w:hAnsi="Arial" w:cs="Arial"/>
        </w:rPr>
        <w:t>Second Report. Geneva, (Tech Rep. Ser., No.646).</w:t>
      </w:r>
    </w:p>
    <w:p w:rsidR="001105E0" w:rsidRPr="002A789B" w:rsidRDefault="001105E0"/>
    <w:sectPr w:rsidR="001105E0" w:rsidRPr="002A789B" w:rsidSect="001105E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C73" w:rsidRDefault="001F0C73">
      <w:r>
        <w:separator/>
      </w:r>
    </w:p>
  </w:endnote>
  <w:endnote w:type="continuationSeparator" w:id="1">
    <w:p w:rsidR="001F0C73" w:rsidRDefault="001F0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FD" w:rsidRDefault="000C4C88" w:rsidP="00DD0330">
    <w:pPr>
      <w:pStyle w:val="Footer"/>
      <w:framePr w:wrap="around" w:vAnchor="text" w:hAnchor="margin" w:xAlign="right" w:y="1"/>
      <w:rPr>
        <w:rStyle w:val="PageNumber"/>
      </w:rPr>
    </w:pPr>
    <w:r>
      <w:rPr>
        <w:rStyle w:val="PageNumber"/>
      </w:rPr>
      <w:fldChar w:fldCharType="begin"/>
    </w:r>
    <w:r w:rsidR="005C28FD">
      <w:rPr>
        <w:rStyle w:val="PageNumber"/>
      </w:rPr>
      <w:instrText xml:space="preserve">PAGE  </w:instrText>
    </w:r>
    <w:r>
      <w:rPr>
        <w:rStyle w:val="PageNumber"/>
      </w:rPr>
      <w:fldChar w:fldCharType="end"/>
    </w:r>
  </w:p>
  <w:p w:rsidR="005C28FD" w:rsidRDefault="005C28FD" w:rsidP="00A87C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FD" w:rsidRDefault="005C28FD" w:rsidP="00A87C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C73" w:rsidRDefault="001F0C73">
      <w:r>
        <w:separator/>
      </w:r>
    </w:p>
  </w:footnote>
  <w:footnote w:type="continuationSeparator" w:id="1">
    <w:p w:rsidR="001F0C73" w:rsidRDefault="001F0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9C5" w:rsidRDefault="000C4C88">
    <w:pPr>
      <w:pStyle w:val="Header"/>
      <w:jc w:val="right"/>
    </w:pPr>
    <w:fldSimple w:instr=" PAGE   \* MERGEFORMAT ">
      <w:r w:rsidR="00B66B8F">
        <w:rPr>
          <w:noProof/>
        </w:rPr>
        <w:t>11</w:t>
      </w:r>
    </w:fldSimple>
  </w:p>
  <w:p w:rsidR="000B59C5" w:rsidRDefault="000B59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stylePaneFormatFilter w:val="3F01"/>
  <w:defaultTabStop w:val="720"/>
  <w:characterSpacingControl w:val="doNotCompress"/>
  <w:footnotePr>
    <w:footnote w:id="0"/>
    <w:footnote w:id="1"/>
  </w:footnotePr>
  <w:endnotePr>
    <w:endnote w:id="0"/>
    <w:endnote w:id="1"/>
  </w:endnotePr>
  <w:compat/>
  <w:rsids>
    <w:rsidRoot w:val="001105E0"/>
    <w:rsid w:val="000773CD"/>
    <w:rsid w:val="00077573"/>
    <w:rsid w:val="0009014F"/>
    <w:rsid w:val="000A3522"/>
    <w:rsid w:val="000A4010"/>
    <w:rsid w:val="000B323C"/>
    <w:rsid w:val="000B59C5"/>
    <w:rsid w:val="000C4C88"/>
    <w:rsid w:val="000D1DF9"/>
    <w:rsid w:val="000E130B"/>
    <w:rsid w:val="001105E0"/>
    <w:rsid w:val="001113BA"/>
    <w:rsid w:val="00113222"/>
    <w:rsid w:val="00113801"/>
    <w:rsid w:val="00117ADC"/>
    <w:rsid w:val="00130B6D"/>
    <w:rsid w:val="0013149D"/>
    <w:rsid w:val="00154E12"/>
    <w:rsid w:val="001566CC"/>
    <w:rsid w:val="00162C40"/>
    <w:rsid w:val="00182EBC"/>
    <w:rsid w:val="0019001C"/>
    <w:rsid w:val="001932AD"/>
    <w:rsid w:val="001A3591"/>
    <w:rsid w:val="001A570E"/>
    <w:rsid w:val="001F0C73"/>
    <w:rsid w:val="00201BC8"/>
    <w:rsid w:val="0020535A"/>
    <w:rsid w:val="00206E4A"/>
    <w:rsid w:val="002135B5"/>
    <w:rsid w:val="00221B40"/>
    <w:rsid w:val="00224EAD"/>
    <w:rsid w:val="00243855"/>
    <w:rsid w:val="00253F5D"/>
    <w:rsid w:val="00284AEB"/>
    <w:rsid w:val="002A789B"/>
    <w:rsid w:val="002B5DA0"/>
    <w:rsid w:val="002E37E5"/>
    <w:rsid w:val="002E3EAD"/>
    <w:rsid w:val="002E732A"/>
    <w:rsid w:val="002F3C13"/>
    <w:rsid w:val="002F4DD2"/>
    <w:rsid w:val="0032654B"/>
    <w:rsid w:val="003273F0"/>
    <w:rsid w:val="0033296F"/>
    <w:rsid w:val="00337D06"/>
    <w:rsid w:val="0035635F"/>
    <w:rsid w:val="00370141"/>
    <w:rsid w:val="003837F9"/>
    <w:rsid w:val="00390BF7"/>
    <w:rsid w:val="003B18FE"/>
    <w:rsid w:val="003C24EB"/>
    <w:rsid w:val="003E465B"/>
    <w:rsid w:val="004004E9"/>
    <w:rsid w:val="00415F64"/>
    <w:rsid w:val="00437BBF"/>
    <w:rsid w:val="00466FF9"/>
    <w:rsid w:val="0049633F"/>
    <w:rsid w:val="004A3EF3"/>
    <w:rsid w:val="004B20B1"/>
    <w:rsid w:val="004C2DA9"/>
    <w:rsid w:val="004D62EF"/>
    <w:rsid w:val="005152B6"/>
    <w:rsid w:val="00515A86"/>
    <w:rsid w:val="00520E16"/>
    <w:rsid w:val="00526977"/>
    <w:rsid w:val="00544CC3"/>
    <w:rsid w:val="00582194"/>
    <w:rsid w:val="005A0B5A"/>
    <w:rsid w:val="005A3D49"/>
    <w:rsid w:val="005A633B"/>
    <w:rsid w:val="005B34B4"/>
    <w:rsid w:val="005C28FD"/>
    <w:rsid w:val="005C53E3"/>
    <w:rsid w:val="005D7ECE"/>
    <w:rsid w:val="005F3A7D"/>
    <w:rsid w:val="00623BB4"/>
    <w:rsid w:val="0062408A"/>
    <w:rsid w:val="00627E72"/>
    <w:rsid w:val="00637096"/>
    <w:rsid w:val="00655D00"/>
    <w:rsid w:val="00660C23"/>
    <w:rsid w:val="00674984"/>
    <w:rsid w:val="006771A5"/>
    <w:rsid w:val="006846D8"/>
    <w:rsid w:val="00686B0A"/>
    <w:rsid w:val="006B1135"/>
    <w:rsid w:val="006B4C3F"/>
    <w:rsid w:val="006C3D36"/>
    <w:rsid w:val="00724980"/>
    <w:rsid w:val="00734B29"/>
    <w:rsid w:val="00736727"/>
    <w:rsid w:val="00757A2A"/>
    <w:rsid w:val="00774C2F"/>
    <w:rsid w:val="00781A27"/>
    <w:rsid w:val="00787FE8"/>
    <w:rsid w:val="007A5775"/>
    <w:rsid w:val="007D0C4E"/>
    <w:rsid w:val="007D593C"/>
    <w:rsid w:val="007E71C2"/>
    <w:rsid w:val="007F002E"/>
    <w:rsid w:val="007F1793"/>
    <w:rsid w:val="0080397D"/>
    <w:rsid w:val="00841D4C"/>
    <w:rsid w:val="00856B98"/>
    <w:rsid w:val="0088117E"/>
    <w:rsid w:val="0089166B"/>
    <w:rsid w:val="008A336B"/>
    <w:rsid w:val="008E2FE1"/>
    <w:rsid w:val="008F4479"/>
    <w:rsid w:val="00902852"/>
    <w:rsid w:val="0090458E"/>
    <w:rsid w:val="00910795"/>
    <w:rsid w:val="00923B4E"/>
    <w:rsid w:val="00923BAB"/>
    <w:rsid w:val="0096303F"/>
    <w:rsid w:val="00964587"/>
    <w:rsid w:val="00975C58"/>
    <w:rsid w:val="00984227"/>
    <w:rsid w:val="009922F5"/>
    <w:rsid w:val="009C4847"/>
    <w:rsid w:val="009C56FB"/>
    <w:rsid w:val="009D102D"/>
    <w:rsid w:val="009D4373"/>
    <w:rsid w:val="009D6B50"/>
    <w:rsid w:val="009E0358"/>
    <w:rsid w:val="009E101A"/>
    <w:rsid w:val="009F24E9"/>
    <w:rsid w:val="009F6AA3"/>
    <w:rsid w:val="009F74EA"/>
    <w:rsid w:val="00A23221"/>
    <w:rsid w:val="00A31819"/>
    <w:rsid w:val="00A3448C"/>
    <w:rsid w:val="00A41F8B"/>
    <w:rsid w:val="00A4296A"/>
    <w:rsid w:val="00A47D65"/>
    <w:rsid w:val="00A72E3C"/>
    <w:rsid w:val="00A73967"/>
    <w:rsid w:val="00A77917"/>
    <w:rsid w:val="00A87C13"/>
    <w:rsid w:val="00AB1977"/>
    <w:rsid w:val="00AF3844"/>
    <w:rsid w:val="00AF7165"/>
    <w:rsid w:val="00B24B49"/>
    <w:rsid w:val="00B40033"/>
    <w:rsid w:val="00B60E02"/>
    <w:rsid w:val="00B65CAB"/>
    <w:rsid w:val="00B66B8F"/>
    <w:rsid w:val="00BB3AA2"/>
    <w:rsid w:val="00BB499C"/>
    <w:rsid w:val="00BB7030"/>
    <w:rsid w:val="00BB712B"/>
    <w:rsid w:val="00BE324C"/>
    <w:rsid w:val="00C04DFA"/>
    <w:rsid w:val="00C06B70"/>
    <w:rsid w:val="00C35EB7"/>
    <w:rsid w:val="00C36053"/>
    <w:rsid w:val="00C50158"/>
    <w:rsid w:val="00C84070"/>
    <w:rsid w:val="00C9248D"/>
    <w:rsid w:val="00CA03BB"/>
    <w:rsid w:val="00CA4092"/>
    <w:rsid w:val="00CA65D5"/>
    <w:rsid w:val="00CD0326"/>
    <w:rsid w:val="00CD2C91"/>
    <w:rsid w:val="00CD3BDC"/>
    <w:rsid w:val="00CD5A55"/>
    <w:rsid w:val="00CF4D8C"/>
    <w:rsid w:val="00D15229"/>
    <w:rsid w:val="00D30203"/>
    <w:rsid w:val="00D42D1A"/>
    <w:rsid w:val="00D5461F"/>
    <w:rsid w:val="00D54E4E"/>
    <w:rsid w:val="00D561B5"/>
    <w:rsid w:val="00DB09A7"/>
    <w:rsid w:val="00DD0330"/>
    <w:rsid w:val="00DE3423"/>
    <w:rsid w:val="00DE4CA0"/>
    <w:rsid w:val="00DF1F2F"/>
    <w:rsid w:val="00E36CDA"/>
    <w:rsid w:val="00E36E43"/>
    <w:rsid w:val="00E43155"/>
    <w:rsid w:val="00E47C02"/>
    <w:rsid w:val="00E74F43"/>
    <w:rsid w:val="00EA171A"/>
    <w:rsid w:val="00EA1CED"/>
    <w:rsid w:val="00EB2A15"/>
    <w:rsid w:val="00F34E19"/>
    <w:rsid w:val="00F537E7"/>
    <w:rsid w:val="00F62BCC"/>
    <w:rsid w:val="00F671DA"/>
    <w:rsid w:val="00F938AF"/>
    <w:rsid w:val="00FA54E1"/>
    <w:rsid w:val="00FB3B61"/>
    <w:rsid w:val="00FD12A7"/>
    <w:rsid w:val="00FD208A"/>
    <w:rsid w:val="00FD49CE"/>
    <w:rsid w:val="00FD5B27"/>
    <w:rsid w:val="00FF0324"/>
    <w:rsid w:val="00FF1922"/>
    <w:rsid w:val="00FF4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5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5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87C13"/>
    <w:pPr>
      <w:tabs>
        <w:tab w:val="center" w:pos="4320"/>
        <w:tab w:val="right" w:pos="8640"/>
      </w:tabs>
    </w:pPr>
  </w:style>
  <w:style w:type="character" w:styleId="PageNumber">
    <w:name w:val="page number"/>
    <w:basedOn w:val="DefaultParagraphFont"/>
    <w:rsid w:val="00A87C13"/>
  </w:style>
  <w:style w:type="paragraph" w:styleId="Header">
    <w:name w:val="header"/>
    <w:basedOn w:val="Normal"/>
    <w:link w:val="HeaderChar"/>
    <w:uiPriority w:val="99"/>
    <w:rsid w:val="000B59C5"/>
    <w:pPr>
      <w:tabs>
        <w:tab w:val="center" w:pos="4680"/>
        <w:tab w:val="right" w:pos="9360"/>
      </w:tabs>
    </w:pPr>
  </w:style>
  <w:style w:type="character" w:customStyle="1" w:styleId="HeaderChar">
    <w:name w:val="Header Char"/>
    <w:basedOn w:val="DefaultParagraphFont"/>
    <w:link w:val="Header"/>
    <w:uiPriority w:val="99"/>
    <w:rsid w:val="000B59C5"/>
    <w:rPr>
      <w:sz w:val="24"/>
      <w:szCs w:val="24"/>
    </w:rPr>
  </w:style>
  <w:style w:type="paragraph" w:styleId="BalloonText">
    <w:name w:val="Balloon Text"/>
    <w:basedOn w:val="Normal"/>
    <w:link w:val="BalloonTextChar"/>
    <w:rsid w:val="00BE324C"/>
    <w:rPr>
      <w:rFonts w:ascii="Tahoma" w:hAnsi="Tahoma" w:cs="Tahoma"/>
      <w:sz w:val="16"/>
      <w:szCs w:val="16"/>
    </w:rPr>
  </w:style>
  <w:style w:type="character" w:customStyle="1" w:styleId="BalloonTextChar">
    <w:name w:val="Balloon Text Char"/>
    <w:basedOn w:val="DefaultParagraphFont"/>
    <w:link w:val="BalloonText"/>
    <w:rsid w:val="00BE3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GEORG%20GRAH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04851610591381"/>
          <c:y val="6.1465862943869458E-2"/>
          <c:w val="0.56653281578094927"/>
          <c:h val="0.7754155017534301"/>
        </c:manualLayout>
      </c:layout>
      <c:lineChart>
        <c:grouping val="standard"/>
        <c:ser>
          <c:idx val="0"/>
          <c:order val="0"/>
          <c:tx>
            <c:v>CONTROL FPG</c:v>
          </c:tx>
          <c:spPr>
            <a:ln w="12700">
              <a:solidFill>
                <a:srgbClr val="000080"/>
              </a:solidFill>
              <a:prstDash val="solid"/>
            </a:ln>
          </c:spPr>
          <c:marker>
            <c:symbol val="diamond"/>
            <c:size val="5"/>
            <c:spPr>
              <a:solidFill>
                <a:srgbClr val="000080"/>
              </a:solidFill>
              <a:ln>
                <a:solidFill>
                  <a:srgbClr val="000080"/>
                </a:solidFill>
                <a:prstDash val="solid"/>
              </a:ln>
            </c:spPr>
          </c:marker>
          <c:val>
            <c:numRef>
              <c:f>Sheet1!$A$1:$A$9</c:f>
              <c:numCache>
                <c:formatCode>General</c:formatCode>
                <c:ptCount val="9"/>
                <c:pt idx="0">
                  <c:v>4.5999999999999996</c:v>
                </c:pt>
                <c:pt idx="1">
                  <c:v>4.7</c:v>
                </c:pt>
                <c:pt idx="2">
                  <c:v>4.4000000000000004</c:v>
                </c:pt>
                <c:pt idx="3">
                  <c:v>4.5</c:v>
                </c:pt>
                <c:pt idx="4">
                  <c:v>4.7</c:v>
                </c:pt>
                <c:pt idx="5">
                  <c:v>5.0999999999999996</c:v>
                </c:pt>
                <c:pt idx="6">
                  <c:v>5.3</c:v>
                </c:pt>
                <c:pt idx="7">
                  <c:v>4.5999999999999996</c:v>
                </c:pt>
                <c:pt idx="8">
                  <c:v>4.7</c:v>
                </c:pt>
              </c:numCache>
            </c:numRef>
          </c:val>
        </c:ser>
        <c:ser>
          <c:idx val="1"/>
          <c:order val="1"/>
          <c:tx>
            <c:v>DCR FPG</c:v>
          </c:tx>
          <c:spPr>
            <a:ln w="12700">
              <a:solidFill>
                <a:srgbClr val="FF00FF"/>
              </a:solidFill>
              <a:prstDash val="solid"/>
            </a:ln>
          </c:spPr>
          <c:marker>
            <c:symbol val="square"/>
            <c:size val="5"/>
            <c:spPr>
              <a:solidFill>
                <a:srgbClr val="FF00FF"/>
              </a:solidFill>
              <a:ln>
                <a:solidFill>
                  <a:srgbClr val="FF00FF"/>
                </a:solidFill>
                <a:prstDash val="solid"/>
              </a:ln>
            </c:spPr>
          </c:marker>
          <c:val>
            <c:numRef>
              <c:f>Sheet1!$B$1:$B$9</c:f>
              <c:numCache>
                <c:formatCode>General</c:formatCode>
                <c:ptCount val="9"/>
                <c:pt idx="0">
                  <c:v>10.3</c:v>
                </c:pt>
                <c:pt idx="1">
                  <c:v>10.7</c:v>
                </c:pt>
                <c:pt idx="2">
                  <c:v>11.4</c:v>
                </c:pt>
                <c:pt idx="3">
                  <c:v>13.3</c:v>
                </c:pt>
                <c:pt idx="4">
                  <c:v>15.5</c:v>
                </c:pt>
                <c:pt idx="5">
                  <c:v>16.399999999999999</c:v>
                </c:pt>
                <c:pt idx="6">
                  <c:v>18.2</c:v>
                </c:pt>
                <c:pt idx="7">
                  <c:v>22.3</c:v>
                </c:pt>
                <c:pt idx="8">
                  <c:v>24.3</c:v>
                </c:pt>
              </c:numCache>
            </c:numRef>
          </c:val>
        </c:ser>
        <c:ser>
          <c:idx val="2"/>
          <c:order val="2"/>
          <c:tx>
            <c:v>DTRD FPG</c:v>
          </c:tx>
          <c:spPr>
            <a:ln w="12700">
              <a:solidFill>
                <a:srgbClr val="FFFF00"/>
              </a:solidFill>
              <a:prstDash val="solid"/>
            </a:ln>
          </c:spPr>
          <c:marker>
            <c:symbol val="triangle"/>
            <c:size val="5"/>
            <c:spPr>
              <a:solidFill>
                <a:srgbClr val="FFFF00"/>
              </a:solidFill>
              <a:ln>
                <a:solidFill>
                  <a:srgbClr val="FFFF00"/>
                </a:solidFill>
                <a:prstDash val="solid"/>
              </a:ln>
            </c:spPr>
          </c:marker>
          <c:val>
            <c:numRef>
              <c:f>Sheet1!$C$1:$C$9</c:f>
              <c:numCache>
                <c:formatCode>General</c:formatCode>
                <c:ptCount val="9"/>
                <c:pt idx="0">
                  <c:v>18.3</c:v>
                </c:pt>
                <c:pt idx="1">
                  <c:v>16.100000000000001</c:v>
                </c:pt>
                <c:pt idx="2">
                  <c:v>14.2</c:v>
                </c:pt>
                <c:pt idx="3">
                  <c:v>12</c:v>
                </c:pt>
                <c:pt idx="4">
                  <c:v>10</c:v>
                </c:pt>
                <c:pt idx="5">
                  <c:v>9.3000000000000007</c:v>
                </c:pt>
                <c:pt idx="6">
                  <c:v>7</c:v>
                </c:pt>
                <c:pt idx="7">
                  <c:v>5.2</c:v>
                </c:pt>
                <c:pt idx="8">
                  <c:v>4.4000000000000004</c:v>
                </c:pt>
              </c:numCache>
            </c:numRef>
          </c:val>
        </c:ser>
        <c:ser>
          <c:idx val="3"/>
          <c:order val="3"/>
          <c:tx>
            <c:v>CONTROL HbA1c</c:v>
          </c:tx>
          <c:spPr>
            <a:ln w="12700">
              <a:solidFill>
                <a:srgbClr val="00FFFF"/>
              </a:solidFill>
              <a:prstDash val="solid"/>
            </a:ln>
          </c:spPr>
          <c:marker>
            <c:symbol val="x"/>
            <c:size val="5"/>
            <c:spPr>
              <a:noFill/>
              <a:ln>
                <a:solidFill>
                  <a:srgbClr val="00FFFF"/>
                </a:solidFill>
                <a:prstDash val="solid"/>
              </a:ln>
            </c:spPr>
          </c:marker>
          <c:val>
            <c:numRef>
              <c:f>Sheet1!$D$1:$D$9</c:f>
              <c:numCache>
                <c:formatCode>General</c:formatCode>
                <c:ptCount val="9"/>
                <c:pt idx="0">
                  <c:v>4.3</c:v>
                </c:pt>
                <c:pt idx="1">
                  <c:v>4.4000000000000004</c:v>
                </c:pt>
                <c:pt idx="2">
                  <c:v>4.5</c:v>
                </c:pt>
                <c:pt idx="3">
                  <c:v>4.3</c:v>
                </c:pt>
                <c:pt idx="4">
                  <c:v>4.4000000000000004</c:v>
                </c:pt>
                <c:pt idx="5">
                  <c:v>4.5999999999999996</c:v>
                </c:pt>
                <c:pt idx="6">
                  <c:v>4.4000000000000004</c:v>
                </c:pt>
                <c:pt idx="7">
                  <c:v>4.4000000000000004</c:v>
                </c:pt>
                <c:pt idx="8">
                  <c:v>4.4000000000000004</c:v>
                </c:pt>
              </c:numCache>
            </c:numRef>
          </c:val>
        </c:ser>
        <c:ser>
          <c:idx val="4"/>
          <c:order val="4"/>
          <c:tx>
            <c:v>DCR HbA1c</c:v>
          </c:tx>
          <c:spPr>
            <a:ln w="12700">
              <a:solidFill>
                <a:srgbClr val="800080"/>
              </a:solidFill>
              <a:prstDash val="solid"/>
            </a:ln>
          </c:spPr>
          <c:marker>
            <c:symbol val="star"/>
            <c:size val="5"/>
            <c:spPr>
              <a:noFill/>
              <a:ln>
                <a:solidFill>
                  <a:srgbClr val="800080"/>
                </a:solidFill>
                <a:prstDash val="solid"/>
              </a:ln>
            </c:spPr>
          </c:marker>
          <c:val>
            <c:numRef>
              <c:f>Sheet1!$E$1:$E$9</c:f>
              <c:numCache>
                <c:formatCode>General</c:formatCode>
                <c:ptCount val="9"/>
                <c:pt idx="0">
                  <c:v>10.4</c:v>
                </c:pt>
                <c:pt idx="1">
                  <c:v>10</c:v>
                </c:pt>
                <c:pt idx="2">
                  <c:v>12.2</c:v>
                </c:pt>
                <c:pt idx="3">
                  <c:v>14.3</c:v>
                </c:pt>
                <c:pt idx="4">
                  <c:v>15.6</c:v>
                </c:pt>
                <c:pt idx="5">
                  <c:v>15.8</c:v>
                </c:pt>
                <c:pt idx="6">
                  <c:v>16.3</c:v>
                </c:pt>
                <c:pt idx="7">
                  <c:v>17.399999999999999</c:v>
                </c:pt>
                <c:pt idx="8">
                  <c:v>18.3</c:v>
                </c:pt>
              </c:numCache>
            </c:numRef>
          </c:val>
        </c:ser>
        <c:ser>
          <c:idx val="5"/>
          <c:order val="5"/>
          <c:tx>
            <c:v>DTRD HbA1c</c:v>
          </c:tx>
          <c:spPr>
            <a:ln w="12700">
              <a:solidFill>
                <a:srgbClr val="800000"/>
              </a:solidFill>
              <a:prstDash val="solid"/>
            </a:ln>
          </c:spPr>
          <c:marker>
            <c:symbol val="circle"/>
            <c:size val="5"/>
            <c:spPr>
              <a:solidFill>
                <a:srgbClr val="800000"/>
              </a:solidFill>
              <a:ln>
                <a:solidFill>
                  <a:srgbClr val="800000"/>
                </a:solidFill>
                <a:prstDash val="solid"/>
              </a:ln>
            </c:spPr>
          </c:marker>
          <c:val>
            <c:numRef>
              <c:f>Sheet1!$F$1:$F$9</c:f>
              <c:numCache>
                <c:formatCode>General</c:formatCode>
                <c:ptCount val="9"/>
                <c:pt idx="0">
                  <c:v>13.3</c:v>
                </c:pt>
                <c:pt idx="1">
                  <c:v>12</c:v>
                </c:pt>
                <c:pt idx="2">
                  <c:v>11</c:v>
                </c:pt>
                <c:pt idx="3">
                  <c:v>8.3000000000000007</c:v>
                </c:pt>
                <c:pt idx="4">
                  <c:v>8</c:v>
                </c:pt>
                <c:pt idx="5">
                  <c:v>6.21</c:v>
                </c:pt>
                <c:pt idx="6">
                  <c:v>5.0999999999999996</c:v>
                </c:pt>
                <c:pt idx="7">
                  <c:v>4.5999999999999996</c:v>
                </c:pt>
                <c:pt idx="8">
                  <c:v>3</c:v>
                </c:pt>
              </c:numCache>
            </c:numRef>
          </c:val>
        </c:ser>
        <c:marker val="1"/>
        <c:axId val="45726336"/>
        <c:axId val="45732992"/>
      </c:lineChart>
      <c:catAx>
        <c:axId val="45726336"/>
        <c:scaling>
          <c:orientation val="minMax"/>
        </c:scaling>
        <c:axPos val="b"/>
        <c:title>
          <c:tx>
            <c:rich>
              <a:bodyPr/>
              <a:lstStyle/>
              <a:p>
                <a:pPr>
                  <a:defRPr sz="1000" b="1" i="0" u="none" strike="noStrike" baseline="0">
                    <a:solidFill>
                      <a:srgbClr val="000000"/>
                    </a:solidFill>
                    <a:latin typeface="Arial"/>
                    <a:ea typeface="Arial"/>
                    <a:cs typeface="Arial"/>
                  </a:defRPr>
                </a:pPr>
                <a:r>
                  <a:rPr lang="en-US"/>
                  <a:t>HBA1C(%)</a:t>
                </a:r>
              </a:p>
            </c:rich>
          </c:tx>
          <c:layout>
            <c:manualLayout>
              <c:xMode val="edge"/>
              <c:yMode val="edge"/>
              <c:x val="0.34879066594343261"/>
              <c:y val="0.91016758589960378"/>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5732992"/>
        <c:crosses val="autoZero"/>
        <c:auto val="1"/>
        <c:lblAlgn val="ctr"/>
        <c:lblOffset val="100"/>
        <c:tickLblSkip val="1"/>
        <c:tickMarkSkip val="1"/>
      </c:catAx>
      <c:valAx>
        <c:axId val="45732992"/>
        <c:scaling>
          <c:orientation val="minMax"/>
        </c:scaling>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GLUCOSE (mmol/L)</a:t>
                </a:r>
              </a:p>
            </c:rich>
          </c:tx>
          <c:layout>
            <c:manualLayout>
              <c:xMode val="edge"/>
              <c:yMode val="edge"/>
              <c:x val="3.2258096272224993E-2"/>
              <c:y val="0.30023709976428542"/>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5726336"/>
        <c:crosses val="autoZero"/>
        <c:crossBetween val="between"/>
      </c:valAx>
      <c:spPr>
        <a:solidFill>
          <a:srgbClr val="C0C0C0"/>
        </a:solidFill>
        <a:ln w="12700">
          <a:solidFill>
            <a:srgbClr val="808080"/>
          </a:solidFill>
          <a:prstDash val="solid"/>
        </a:ln>
      </c:spPr>
    </c:plotArea>
    <c:legend>
      <c:legendPos val="r"/>
      <c:layout>
        <c:manualLayout>
          <c:xMode val="edge"/>
          <c:yMode val="edge"/>
          <c:x val="0.71975877307402014"/>
          <c:y val="0.30023709976428542"/>
          <c:w val="0.26411316322884243"/>
          <c:h val="0.3002370997642854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EVALUATION OF THE ANTI OXIDANT PROPERTIES OF Tapinanthus bengwensis AND oszimum gratissimum HERB EXTRACT ON streptozotocin-induced DIABETIC RATS</vt:lpstr>
    </vt:vector>
  </TitlesOfParts>
  <Company>Jericon</Company>
  <LinksUpToDate>false</LinksUpToDate>
  <CharactersWithSpaces>13533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ANTI OXIDANT PROPERTIES OF Tapinanthus bengwensis AND oszimum gratissimum HERB EXTRACT ON streptozotocin-induced DIABETIC RATS</dc:title>
  <dc:subject/>
  <dc:creator>Jerry Asuo</dc:creator>
  <cp:keywords/>
  <dc:description/>
  <cp:lastModifiedBy>landcafe4</cp:lastModifiedBy>
  <cp:revision>16</cp:revision>
  <dcterms:created xsi:type="dcterms:W3CDTF">2011-05-22T02:15:00Z</dcterms:created>
  <dcterms:modified xsi:type="dcterms:W3CDTF">2011-05-27T16:20:00Z</dcterms:modified>
</cp:coreProperties>
</file>