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8C" w:rsidRPr="00D4698C" w:rsidRDefault="00D4698C" w:rsidP="00D46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698C">
        <w:rPr>
          <w:b/>
          <w:sz w:val="24"/>
          <w:szCs w:val="24"/>
        </w:rPr>
        <w:t>REFERENCE</w:t>
      </w:r>
    </w:p>
    <w:p w:rsidR="00D4698C" w:rsidRPr="00D4698C" w:rsidRDefault="00D4698C" w:rsidP="00D4698C">
      <w:pPr>
        <w:spacing w:line="480" w:lineRule="auto"/>
        <w:rPr>
          <w:sz w:val="24"/>
          <w:szCs w:val="24"/>
        </w:rPr>
      </w:pP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469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Fraser I.S, Critchley H.O.D, Broder M, Munro M.G. The FIGO </w:t>
      </w:r>
      <w:bookmarkStart w:id="0" w:name="_GoBack"/>
      <w:bookmarkEnd w:id="0"/>
      <w:r w:rsidRPr="00D4698C">
        <w:rPr>
          <w:rFonts w:ascii="Arial" w:hAnsi="Arial" w:cs="Arial"/>
          <w:color w:val="333333"/>
          <w:sz w:val="24"/>
          <w:szCs w:val="24"/>
          <w:shd w:val="clear" w:color="auto" w:fill="FFFFFF"/>
        </w:rPr>
        <w:t>Recommendation on Terminology and definition for Normal and Abnormal Uterine Bleeding. Seminars in Reproductive Medicine. 2011;29(5).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 w:rsidRPr="00D4698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Speroff</w:t>
      </w:r>
      <w:proofErr w:type="spellEnd"/>
      <w:r w:rsidRPr="00D4698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L, Fritz MA. Menopause and the peri-menopausal transition In Clinical gynaecologic endocrinology and infertility. 7th edition. Jaypee Brothers Med Publishers (P) Ltd; 2005: 621–88.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Nazim F, Hayat Z, Hannan A, Ikram U, Nazim K. Role of transvaginal ultrasound in identifying endometrial hyperplasia. Journal of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Ayub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Medical College Abbottabad. 2013 Jun 1;25(1-2):100-2.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Donald I,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Macvicar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J, Brown TG. Investigation of abdominal masses by pulsed ultrasound. The Lancet. 1958 Jun 7;271(7032):1188-95.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Singh P, Dwivedi P,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Mendiratta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S. Correlation of Endometrial Thickness with the Histopathological Pattern of Endometrium in Postmenopausal Bleeding. The Journal of Obstetrics and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Gynecology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of India. 2016 Feb 1;66(1):42-6.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Kumar A, Mittal S. Endometrial sampling: How? &amp; why.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Obs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Gynae Today. 2007;12(6):284-87.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Shobhitha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GL,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Kumari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VI,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Priya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PL,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Sundari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BT. Endometrial study by TVS and It’s correlation with histopathology in abnormal uterine bleeding. J Dental Med Sci. 2015;14(4):21-32.</w:t>
      </w:r>
      <w:r w:rsidRPr="00D4698C">
        <w:rPr>
          <w:sz w:val="24"/>
          <w:szCs w:val="24"/>
        </w:rPr>
        <w:t xml:space="preserve"> 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Svirsky R,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Smorgick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Rozowski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Sagiv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R, Feingold M, Halperin R,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Pansky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M. Can we rely on blind endometrial biopsy for detection of focal intrauterine pathology?. American Journal of Obstetrics &amp;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Gynecology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. 2008 Aug 1;199(2):115-e1.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Parmar J, Desai D. Study of endometrial pathology in abnormal uterine bleeding. International Journal of Reproduction, Contraception, Obstetrics and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Gynecology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. 2016 Dec 9;2(2):182-5.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Ash SJ, Farrell SA, Flowerdew G. Endometrial biopsy in DUB. The Journal of reproductive medicine. 1996 Dec;41(12):892-6.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dvPSFT-L" w:hAnsi="AdvPSFT-L" w:cs="AdvPSFT-L"/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Gambrell RD, Castaneda TA, Ricci CA. Management of postmenopausal bleeding to prevent endometrial cancer.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Maturitas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. 1978 Sep 1;1(2):99-106.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dvPSFT-L" w:hAnsi="AdvPSFT-L" w:cs="AdvPSFT-L"/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Pennant ME, Mehta R, Moody P, Hackett G, Prentice A, Sharp SJ, Lakshman R. Premenopausal abnormal uterine bleeding and risk of endometrial cancer. BJOG: An International Journal of Obstetrics &amp; Gynaecology. 2017 Feb 1;124(3):404-11.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Sur, D, </w:t>
      </w:r>
      <w:proofErr w:type="spellStart"/>
      <w:r w:rsidRPr="00D4698C">
        <w:rPr>
          <w:rFonts w:ascii="Arial" w:hAnsi="Arial" w:cs="Arial"/>
          <w:color w:val="333333"/>
          <w:sz w:val="24"/>
          <w:szCs w:val="24"/>
          <w:shd w:val="clear" w:color="auto" w:fill="FFFFFF"/>
        </w:rPr>
        <w:t>Chakravorty</w:t>
      </w:r>
      <w:proofErr w:type="spellEnd"/>
      <w:r w:rsidRPr="00D4698C">
        <w:rPr>
          <w:rFonts w:ascii="Arial" w:hAnsi="Arial" w:cs="Arial"/>
          <w:color w:val="333333"/>
          <w:sz w:val="24"/>
          <w:szCs w:val="24"/>
          <w:shd w:val="clear" w:color="auto" w:fill="FFFFFF"/>
        </w:rPr>
        <w:t>, R. Correlation of Endometrial Thickness and Histopathology in women with Abnormal Uterine Bleeding. Reproductive System and Sexual Disorder. 2016;5(4).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Damle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RP,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Dravid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NV,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Suryawanshi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KH,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Gadre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AS,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Bagale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PS,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Ahire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N. Clinicopathological spectrum of endometrial changes in peri-menopausal and post-menopausal abnormal uterine bleeding: A 2 years study. Journal of clinical and diagnostic research: JCDR. 2013 Dec;7(12):2774.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98C">
        <w:rPr>
          <w:rFonts w:ascii="Times New Roman" w:hAnsi="Times New Roman" w:cs="Times New Roman"/>
          <w:sz w:val="24"/>
          <w:szCs w:val="24"/>
        </w:rPr>
        <w:t>Dangal G. A study of endometrium of patients with abnormal uterine bleeding at Chitwan valley. KUMJ 2003;1:110-2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Mirza T,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Akram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S, Mirza A, Aziz S, Mirza T,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Mustansar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T. Histopathological pattern of abnormal uterine bleeding in endometrial biopsies. J Basic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Appl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Sci. 2012;8(1):114-7.</w:t>
      </w:r>
    </w:p>
    <w:p w:rsidR="00D4698C" w:rsidRPr="00D4698C" w:rsidRDefault="00D4698C" w:rsidP="00D469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Pillai SS. Sonographic and histopathological correlation and evaluation of endometrium in perimenopausal women with abnormal uterine bleeding. </w:t>
      </w:r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International Journal of Reproduction, Contraception, Obstetrics and </w:t>
      </w:r>
      <w:proofErr w:type="spellStart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Gynecology</w:t>
      </w:r>
      <w:proofErr w:type="spellEnd"/>
      <w:r w:rsidRPr="00D4698C">
        <w:rPr>
          <w:rFonts w:ascii="Arial" w:hAnsi="Arial" w:cs="Arial"/>
          <w:color w:val="222222"/>
          <w:sz w:val="24"/>
          <w:szCs w:val="24"/>
          <w:shd w:val="clear" w:color="auto" w:fill="FFFFFF"/>
        </w:rPr>
        <w:t>. 2016 Dec 24;3(1):113-7.</w:t>
      </w:r>
    </w:p>
    <w:p w:rsidR="00D4698C" w:rsidRPr="00D4698C" w:rsidRDefault="00D4698C" w:rsidP="00D4698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698C" w:rsidRPr="00D4698C" w:rsidRDefault="00D4698C" w:rsidP="00D4698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82278" w:rsidRPr="00D4698C" w:rsidRDefault="00182278" w:rsidP="00D4698C">
      <w:pPr>
        <w:spacing w:line="480" w:lineRule="auto"/>
        <w:rPr>
          <w:sz w:val="24"/>
          <w:szCs w:val="24"/>
        </w:rPr>
      </w:pPr>
    </w:p>
    <w:sectPr w:rsidR="00182278" w:rsidRPr="00D46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PSFT-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27B93"/>
    <w:multiLevelType w:val="hybridMultilevel"/>
    <w:tmpl w:val="363C18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8C"/>
    <w:rsid w:val="00182278"/>
    <w:rsid w:val="00D4698C"/>
    <w:rsid w:val="00E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73B8"/>
  <w15:chartTrackingRefBased/>
  <w15:docId w15:val="{F7EB049D-05F0-4355-B869-BE44BD72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9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8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Bobby Biswas</dc:creator>
  <cp:keywords/>
  <dc:description/>
  <cp:lastModifiedBy>Sandip Bobby Biswas</cp:lastModifiedBy>
  <cp:revision>1</cp:revision>
  <dcterms:created xsi:type="dcterms:W3CDTF">2018-02-09T02:28:00Z</dcterms:created>
  <dcterms:modified xsi:type="dcterms:W3CDTF">2018-02-09T02:30:00Z</dcterms:modified>
</cp:coreProperties>
</file>