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B0" w:rsidRPr="003C0280" w:rsidRDefault="007B0B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0BB0" w:rsidRPr="003C0280" w:rsidRDefault="007B0BB0">
      <w:pPr>
        <w:rPr>
          <w:rFonts w:ascii="Times New Roman" w:hAnsi="Times New Roman" w:cs="Times New Roman"/>
          <w:sz w:val="24"/>
          <w:szCs w:val="24"/>
        </w:rPr>
      </w:pPr>
    </w:p>
    <w:p w:rsidR="007B0BB0" w:rsidRPr="003C0280" w:rsidRDefault="007B0BB0">
      <w:pPr>
        <w:rPr>
          <w:rFonts w:ascii="Times New Roman" w:hAnsi="Times New Roman" w:cs="Times New Roman"/>
          <w:sz w:val="24"/>
          <w:szCs w:val="24"/>
        </w:rPr>
      </w:pPr>
      <w:r w:rsidRPr="003C0280">
        <w:rPr>
          <w:rFonts w:ascii="Times New Roman" w:hAnsi="Times New Roman" w:cs="Times New Roman"/>
          <w:sz w:val="24"/>
          <w:szCs w:val="24"/>
        </w:rPr>
        <w:t>Figure 1 : Controls v/s Sudarshan Kriya : Increased beta and alpha activity</w:t>
      </w:r>
    </w:p>
    <w:p w:rsidR="007B0BB0" w:rsidRPr="003C0280" w:rsidRDefault="007B0BB0">
      <w:pPr>
        <w:rPr>
          <w:rFonts w:ascii="Times New Roman" w:hAnsi="Times New Roman" w:cs="Times New Roman"/>
          <w:sz w:val="24"/>
          <w:szCs w:val="24"/>
        </w:rPr>
      </w:pPr>
    </w:p>
    <w:p w:rsidR="007B0BB0" w:rsidRPr="003C0280" w:rsidRDefault="007B0BB0">
      <w:pPr>
        <w:rPr>
          <w:rFonts w:ascii="Times New Roman" w:hAnsi="Times New Roman" w:cs="Times New Roman"/>
          <w:sz w:val="24"/>
          <w:szCs w:val="24"/>
        </w:rPr>
      </w:pPr>
      <w:r w:rsidRPr="003C0280">
        <w:rPr>
          <w:rFonts w:ascii="Times New Roman" w:hAnsi="Times New Roman" w:cs="Times New Roman"/>
          <w:sz w:val="24"/>
          <w:szCs w:val="24"/>
        </w:rPr>
        <w:t>Figure 2: Blood Lactate Levels</w:t>
      </w:r>
    </w:p>
    <w:p w:rsidR="007B0BB0" w:rsidRPr="003C0280" w:rsidRDefault="007B0BB0">
      <w:pPr>
        <w:rPr>
          <w:rFonts w:ascii="Times New Roman" w:hAnsi="Times New Roman" w:cs="Times New Roman"/>
          <w:sz w:val="24"/>
          <w:szCs w:val="24"/>
        </w:rPr>
      </w:pPr>
    </w:p>
    <w:p w:rsidR="007B0BB0" w:rsidRPr="003C0280" w:rsidRDefault="007B0BB0">
      <w:pPr>
        <w:rPr>
          <w:rFonts w:ascii="Times New Roman" w:hAnsi="Times New Roman" w:cs="Times New Roman"/>
          <w:sz w:val="24"/>
          <w:szCs w:val="24"/>
        </w:rPr>
      </w:pPr>
      <w:r w:rsidRPr="003C0280">
        <w:rPr>
          <w:rFonts w:ascii="Times New Roman" w:hAnsi="Times New Roman" w:cs="Times New Roman"/>
          <w:sz w:val="24"/>
          <w:szCs w:val="24"/>
        </w:rPr>
        <w:t>Figure 3 : Menopausal Transition Flow</w:t>
      </w:r>
    </w:p>
    <w:p w:rsidR="007B0BB0" w:rsidRPr="003C0280" w:rsidRDefault="00D43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5950" cy="11715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BB0" w:rsidRPr="003C0280" w:rsidRDefault="007B0BB0">
      <w:pPr>
        <w:rPr>
          <w:rFonts w:ascii="Times New Roman" w:hAnsi="Times New Roman" w:cs="Times New Roman"/>
          <w:sz w:val="24"/>
          <w:szCs w:val="24"/>
        </w:rPr>
      </w:pPr>
      <w:r w:rsidRPr="003C0280">
        <w:rPr>
          <w:rFonts w:ascii="Times New Roman" w:hAnsi="Times New Roman" w:cs="Times New Roman"/>
          <w:sz w:val="24"/>
          <w:szCs w:val="24"/>
        </w:rPr>
        <w:t>Figure 4 : Comparison of Likerts Scores for PM Symptoms</w:t>
      </w:r>
    </w:p>
    <w:p w:rsidR="007B0BB0" w:rsidRPr="00D4368D" w:rsidRDefault="00D4368D">
      <w:pPr>
        <w:rPr>
          <w:rFonts w:ascii="Times New Roman" w:hAnsi="Times New Roman" w:cs="Times New Roman"/>
          <w:sz w:val="40"/>
          <w:szCs w:val="40"/>
        </w:rPr>
      </w:pPr>
      <w:r w:rsidRPr="00D4368D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48C94FF2" wp14:editId="6E0CE5BB">
            <wp:extent cx="704850" cy="676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BB0" w:rsidRPr="003C0280" w:rsidRDefault="007B0BB0">
      <w:pPr>
        <w:rPr>
          <w:rFonts w:ascii="Times New Roman" w:hAnsi="Times New Roman" w:cs="Times New Roman"/>
          <w:sz w:val="24"/>
          <w:szCs w:val="24"/>
        </w:rPr>
      </w:pPr>
      <w:r w:rsidRPr="003C0280">
        <w:rPr>
          <w:rFonts w:ascii="Times New Roman" w:hAnsi="Times New Roman" w:cs="Times New Roman"/>
          <w:sz w:val="24"/>
          <w:szCs w:val="24"/>
        </w:rPr>
        <w:t>Figure 5 : Comparison of Symptoms</w:t>
      </w:r>
    </w:p>
    <w:p w:rsidR="007B0BB0" w:rsidRPr="003C0280" w:rsidRDefault="00D43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638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68D" w:rsidRDefault="00D4368D" w:rsidP="007B0BB0">
      <w:pPr>
        <w:rPr>
          <w:rFonts w:ascii="Times New Roman" w:hAnsi="Times New Roman" w:cs="Times New Roman"/>
          <w:sz w:val="24"/>
          <w:szCs w:val="24"/>
        </w:rPr>
      </w:pPr>
    </w:p>
    <w:p w:rsidR="007B0BB0" w:rsidRPr="003C0280" w:rsidRDefault="007B0BB0" w:rsidP="007B0BB0">
      <w:pPr>
        <w:rPr>
          <w:rFonts w:ascii="Times New Roman" w:hAnsi="Times New Roman" w:cs="Times New Roman"/>
          <w:sz w:val="24"/>
          <w:szCs w:val="24"/>
        </w:rPr>
      </w:pPr>
      <w:r w:rsidRPr="003C0280">
        <w:rPr>
          <w:rFonts w:ascii="Times New Roman" w:hAnsi="Times New Roman" w:cs="Times New Roman"/>
          <w:sz w:val="24"/>
          <w:szCs w:val="24"/>
        </w:rPr>
        <w:t xml:space="preserve">Figure 6 : Mean Scores for Health Practices </w:t>
      </w:r>
    </w:p>
    <w:p w:rsidR="007B0BB0" w:rsidRPr="003C0280" w:rsidRDefault="00D436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476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BB0" w:rsidRPr="003C0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B0"/>
    <w:rsid w:val="003C0280"/>
    <w:rsid w:val="00427BBB"/>
    <w:rsid w:val="007B0BB0"/>
    <w:rsid w:val="00D4368D"/>
    <w:rsid w:val="00EA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2017-04-01T08:44:00Z</dcterms:created>
  <dcterms:modified xsi:type="dcterms:W3CDTF">2017-04-01T08:44:00Z</dcterms:modified>
</cp:coreProperties>
</file>