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A5" w:rsidRPr="00F90957" w:rsidRDefault="005431A5" w:rsidP="005431A5">
      <w:pPr>
        <w:pStyle w:val="NoSpacing"/>
        <w:rPr>
          <w:rFonts w:ascii="Times New Roman" w:hAnsi="Times New Roman" w:cs="Times New Roman"/>
          <w:b/>
          <w:sz w:val="24"/>
          <w:szCs w:val="24"/>
        </w:rPr>
      </w:pPr>
    </w:p>
    <w:tbl>
      <w:tblPr>
        <w:tblStyle w:val="TableGrid"/>
        <w:tblW w:w="10266" w:type="dxa"/>
        <w:tblLook w:val="04A0"/>
      </w:tblPr>
      <w:tblGrid>
        <w:gridCol w:w="2961"/>
        <w:gridCol w:w="696"/>
        <w:gridCol w:w="1333"/>
        <w:gridCol w:w="1741"/>
        <w:gridCol w:w="696"/>
        <w:gridCol w:w="1427"/>
        <w:gridCol w:w="1412"/>
      </w:tblGrid>
      <w:tr w:rsidR="005431A5" w:rsidRPr="00F90957" w:rsidTr="00A813CA">
        <w:trPr>
          <w:trHeight w:val="576"/>
        </w:trPr>
        <w:tc>
          <w:tcPr>
            <w:tcW w:w="2961" w:type="dxa"/>
            <w:vMerge w:val="restart"/>
            <w:tcBorders>
              <w:left w:val="nil"/>
              <w:right w:val="nil"/>
            </w:tcBorders>
            <w:vAlign w:val="center"/>
          </w:tcPr>
          <w:p w:rsidR="005431A5" w:rsidRPr="00F90957" w:rsidRDefault="005431A5" w:rsidP="00DA4337">
            <w:pPr>
              <w:pStyle w:val="NoSpacing"/>
              <w:rPr>
                <w:rFonts w:ascii="Times New Roman" w:hAnsi="Times New Roman" w:cs="Times New Roman"/>
                <w:b/>
                <w:sz w:val="24"/>
                <w:szCs w:val="24"/>
              </w:rPr>
            </w:pPr>
          </w:p>
        </w:tc>
        <w:tc>
          <w:tcPr>
            <w:tcW w:w="3770" w:type="dxa"/>
            <w:gridSpan w:val="3"/>
            <w:tcBorders>
              <w:left w:val="nil"/>
              <w:right w:val="nil"/>
            </w:tcBorders>
            <w:vAlign w:val="center"/>
          </w:tcPr>
          <w:p w:rsidR="005431A5"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TSH (0.02-98.8 mIU/L)</w:t>
            </w:r>
          </w:p>
          <w:p w:rsidR="00426411" w:rsidRPr="00F90957" w:rsidRDefault="00426411" w:rsidP="00DA4337">
            <w:pPr>
              <w:pStyle w:val="NoSpacing"/>
              <w:jc w:val="center"/>
              <w:rPr>
                <w:rFonts w:ascii="Times New Roman" w:hAnsi="Times New Roman" w:cs="Times New Roman"/>
                <w:b/>
                <w:sz w:val="24"/>
                <w:szCs w:val="24"/>
              </w:rPr>
            </w:pPr>
            <w:r>
              <w:rPr>
                <w:rFonts w:ascii="Times New Roman" w:hAnsi="Times New Roman" w:cs="Times New Roman"/>
                <w:b/>
                <w:sz w:val="24"/>
                <w:szCs w:val="24"/>
              </w:rPr>
              <w:t>(Method-1)</w:t>
            </w:r>
          </w:p>
        </w:tc>
        <w:tc>
          <w:tcPr>
            <w:tcW w:w="3535" w:type="dxa"/>
            <w:gridSpan w:val="3"/>
            <w:tcBorders>
              <w:left w:val="nil"/>
              <w:right w:val="nil"/>
            </w:tcBorders>
            <w:vAlign w:val="center"/>
          </w:tcPr>
          <w:p w:rsidR="005431A5"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TSH (0.102-9.99 mIU/L)</w:t>
            </w:r>
          </w:p>
          <w:p w:rsidR="00426411" w:rsidRPr="00F90957" w:rsidRDefault="00426411" w:rsidP="00DA4337">
            <w:pPr>
              <w:pStyle w:val="NoSpacing"/>
              <w:jc w:val="center"/>
              <w:rPr>
                <w:rFonts w:ascii="Times New Roman" w:hAnsi="Times New Roman" w:cs="Times New Roman"/>
                <w:b/>
                <w:sz w:val="24"/>
                <w:szCs w:val="24"/>
              </w:rPr>
            </w:pPr>
            <w:r>
              <w:rPr>
                <w:rFonts w:ascii="Times New Roman" w:hAnsi="Times New Roman" w:cs="Times New Roman"/>
                <w:b/>
                <w:sz w:val="24"/>
                <w:szCs w:val="24"/>
              </w:rPr>
              <w:t>(Method-2)</w:t>
            </w:r>
          </w:p>
        </w:tc>
      </w:tr>
      <w:tr w:rsidR="005431A5" w:rsidRPr="00F90957" w:rsidTr="00A813CA">
        <w:trPr>
          <w:trHeight w:val="576"/>
        </w:trPr>
        <w:tc>
          <w:tcPr>
            <w:tcW w:w="2961" w:type="dxa"/>
            <w:vMerge/>
            <w:tcBorders>
              <w:left w:val="nil"/>
              <w:bottom w:val="single" w:sz="4" w:space="0" w:color="000000" w:themeColor="text1"/>
              <w:right w:val="nil"/>
            </w:tcBorders>
            <w:vAlign w:val="center"/>
          </w:tcPr>
          <w:p w:rsidR="005431A5" w:rsidRPr="00F90957" w:rsidRDefault="005431A5" w:rsidP="00DA4337">
            <w:pPr>
              <w:pStyle w:val="NoSpacing"/>
              <w:rPr>
                <w:rFonts w:ascii="Times New Roman" w:hAnsi="Times New Roman" w:cs="Times New Roman"/>
                <w:b/>
                <w:sz w:val="24"/>
                <w:szCs w:val="24"/>
              </w:rPr>
            </w:pPr>
          </w:p>
        </w:tc>
        <w:tc>
          <w:tcPr>
            <w:tcW w:w="696" w:type="dxa"/>
            <w:tcBorders>
              <w:left w:val="nil"/>
              <w:bottom w:val="single" w:sz="4" w:space="0" w:color="000000" w:themeColor="text1"/>
              <w:right w:val="nil"/>
            </w:tcBorders>
            <w:vAlign w:val="center"/>
          </w:tcPr>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N</w:t>
            </w:r>
          </w:p>
        </w:tc>
        <w:tc>
          <w:tcPr>
            <w:tcW w:w="1333" w:type="dxa"/>
            <w:tcBorders>
              <w:left w:val="nil"/>
              <w:bottom w:val="single" w:sz="4" w:space="0" w:color="000000" w:themeColor="text1"/>
              <w:right w:val="nil"/>
            </w:tcBorders>
            <w:vAlign w:val="center"/>
          </w:tcPr>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2.5</w:t>
            </w:r>
            <w:r w:rsidRPr="00F90957">
              <w:rPr>
                <w:rFonts w:ascii="Times New Roman" w:hAnsi="Times New Roman" w:cs="Times New Roman"/>
                <w:b/>
                <w:sz w:val="24"/>
                <w:szCs w:val="24"/>
                <w:vertAlign w:val="superscript"/>
              </w:rPr>
              <w:t>th</w:t>
            </w:r>
            <w:r w:rsidRPr="00F90957">
              <w:rPr>
                <w:rFonts w:ascii="Times New Roman" w:hAnsi="Times New Roman" w:cs="Times New Roman"/>
                <w:b/>
                <w:sz w:val="24"/>
                <w:szCs w:val="24"/>
              </w:rPr>
              <w:t xml:space="preserve"> Centile</w:t>
            </w:r>
          </w:p>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(90% CI)</w:t>
            </w:r>
          </w:p>
        </w:tc>
        <w:tc>
          <w:tcPr>
            <w:tcW w:w="1741" w:type="dxa"/>
            <w:tcBorders>
              <w:left w:val="nil"/>
              <w:bottom w:val="single" w:sz="4" w:space="0" w:color="000000" w:themeColor="text1"/>
              <w:right w:val="nil"/>
            </w:tcBorders>
            <w:vAlign w:val="center"/>
          </w:tcPr>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97.5</w:t>
            </w:r>
            <w:r w:rsidRPr="00F90957">
              <w:rPr>
                <w:rFonts w:ascii="Times New Roman" w:hAnsi="Times New Roman" w:cs="Times New Roman"/>
                <w:b/>
                <w:sz w:val="24"/>
                <w:szCs w:val="24"/>
                <w:vertAlign w:val="superscript"/>
              </w:rPr>
              <w:t>th</w:t>
            </w:r>
            <w:r w:rsidRPr="00F90957">
              <w:rPr>
                <w:rFonts w:ascii="Times New Roman" w:hAnsi="Times New Roman" w:cs="Times New Roman"/>
                <w:b/>
                <w:sz w:val="24"/>
                <w:szCs w:val="24"/>
              </w:rPr>
              <w:t xml:space="preserve"> Centile (90% CI)</w:t>
            </w:r>
          </w:p>
        </w:tc>
        <w:tc>
          <w:tcPr>
            <w:tcW w:w="696" w:type="dxa"/>
            <w:tcBorders>
              <w:left w:val="nil"/>
              <w:bottom w:val="single" w:sz="4" w:space="0" w:color="000000" w:themeColor="text1"/>
              <w:right w:val="nil"/>
            </w:tcBorders>
            <w:vAlign w:val="center"/>
          </w:tcPr>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N</w:t>
            </w:r>
          </w:p>
        </w:tc>
        <w:tc>
          <w:tcPr>
            <w:tcW w:w="1427" w:type="dxa"/>
            <w:tcBorders>
              <w:left w:val="nil"/>
              <w:bottom w:val="single" w:sz="4" w:space="0" w:color="000000" w:themeColor="text1"/>
              <w:right w:val="nil"/>
            </w:tcBorders>
            <w:vAlign w:val="center"/>
          </w:tcPr>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2.5</w:t>
            </w:r>
            <w:r w:rsidRPr="00F90957">
              <w:rPr>
                <w:rFonts w:ascii="Times New Roman" w:hAnsi="Times New Roman" w:cs="Times New Roman"/>
                <w:b/>
                <w:sz w:val="24"/>
                <w:szCs w:val="24"/>
                <w:vertAlign w:val="superscript"/>
              </w:rPr>
              <w:t>th</w:t>
            </w:r>
            <w:r w:rsidRPr="00F90957">
              <w:rPr>
                <w:rFonts w:ascii="Times New Roman" w:hAnsi="Times New Roman" w:cs="Times New Roman"/>
                <w:b/>
                <w:sz w:val="24"/>
                <w:szCs w:val="24"/>
              </w:rPr>
              <w:t xml:space="preserve"> Centile </w:t>
            </w:r>
          </w:p>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(90% CI)</w:t>
            </w:r>
          </w:p>
        </w:tc>
        <w:tc>
          <w:tcPr>
            <w:tcW w:w="1412" w:type="dxa"/>
            <w:tcBorders>
              <w:left w:val="nil"/>
              <w:bottom w:val="single" w:sz="4" w:space="0" w:color="000000" w:themeColor="text1"/>
              <w:right w:val="nil"/>
            </w:tcBorders>
            <w:vAlign w:val="center"/>
          </w:tcPr>
          <w:p w:rsidR="005431A5" w:rsidRPr="00F90957" w:rsidRDefault="005431A5" w:rsidP="00DA4337">
            <w:pPr>
              <w:pStyle w:val="NoSpacing"/>
              <w:jc w:val="center"/>
              <w:rPr>
                <w:rFonts w:ascii="Times New Roman" w:hAnsi="Times New Roman" w:cs="Times New Roman"/>
                <w:b/>
                <w:sz w:val="24"/>
                <w:szCs w:val="24"/>
              </w:rPr>
            </w:pPr>
            <w:r w:rsidRPr="00F90957">
              <w:rPr>
                <w:rFonts w:ascii="Times New Roman" w:hAnsi="Times New Roman" w:cs="Times New Roman"/>
                <w:b/>
                <w:sz w:val="24"/>
                <w:szCs w:val="24"/>
              </w:rPr>
              <w:t>97.5</w:t>
            </w:r>
            <w:r w:rsidRPr="00F90957">
              <w:rPr>
                <w:rFonts w:ascii="Times New Roman" w:hAnsi="Times New Roman" w:cs="Times New Roman"/>
                <w:b/>
                <w:sz w:val="24"/>
                <w:szCs w:val="24"/>
                <w:vertAlign w:val="superscript"/>
              </w:rPr>
              <w:t>th</w:t>
            </w:r>
            <w:r w:rsidRPr="00F90957">
              <w:rPr>
                <w:rFonts w:ascii="Times New Roman" w:hAnsi="Times New Roman" w:cs="Times New Roman"/>
                <w:b/>
                <w:sz w:val="24"/>
                <w:szCs w:val="24"/>
              </w:rPr>
              <w:t xml:space="preserve"> Centile (90% CI)</w:t>
            </w:r>
          </w:p>
        </w:tc>
      </w:tr>
      <w:tr w:rsidR="005431A5" w:rsidRPr="00F90957" w:rsidTr="00A813CA">
        <w:trPr>
          <w:trHeight w:val="576"/>
        </w:trPr>
        <w:tc>
          <w:tcPr>
            <w:tcW w:w="2961" w:type="dxa"/>
            <w:tcBorders>
              <w:left w:val="nil"/>
              <w:bottom w:val="single" w:sz="4" w:space="0" w:color="000000" w:themeColor="text1"/>
              <w:right w:val="nil"/>
            </w:tcBorders>
            <w:vAlign w:val="center"/>
          </w:tcPr>
          <w:p w:rsidR="005431A5" w:rsidRPr="00F90957" w:rsidRDefault="005431A5" w:rsidP="00DA4337">
            <w:pPr>
              <w:pStyle w:val="NoSpacing"/>
              <w:rPr>
                <w:rFonts w:ascii="Times New Roman" w:hAnsi="Times New Roman" w:cs="Times New Roman"/>
                <w:bCs/>
                <w:sz w:val="24"/>
                <w:szCs w:val="24"/>
              </w:rPr>
            </w:pPr>
            <w:r w:rsidRPr="00F90957">
              <w:rPr>
                <w:rFonts w:ascii="Times New Roman" w:hAnsi="Times New Roman" w:cs="Times New Roman"/>
                <w:bCs/>
                <w:sz w:val="24"/>
                <w:szCs w:val="24"/>
              </w:rPr>
              <w:t>Outliers not removed</w:t>
            </w:r>
          </w:p>
        </w:tc>
        <w:tc>
          <w:tcPr>
            <w:tcW w:w="69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8643</w:t>
            </w:r>
          </w:p>
        </w:tc>
        <w:tc>
          <w:tcPr>
            <w:tcW w:w="133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0.08 </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(0.06-0.09)</w:t>
            </w:r>
          </w:p>
        </w:tc>
        <w:tc>
          <w:tcPr>
            <w:tcW w:w="174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12.85 </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(11.84-14.34)</w:t>
            </w:r>
          </w:p>
        </w:tc>
        <w:tc>
          <w:tcPr>
            <w:tcW w:w="69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8068</w:t>
            </w:r>
          </w:p>
        </w:tc>
        <w:tc>
          <w:tcPr>
            <w:tcW w:w="1427"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0.23 </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(0.22-0.25)</w:t>
            </w:r>
          </w:p>
        </w:tc>
        <w:tc>
          <w:tcPr>
            <w:tcW w:w="1412"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7.50 </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(7.30-7.72)</w:t>
            </w:r>
          </w:p>
        </w:tc>
      </w:tr>
      <w:tr w:rsidR="005431A5" w:rsidRPr="00F90957" w:rsidTr="00A813CA">
        <w:trPr>
          <w:trHeight w:val="576"/>
        </w:trPr>
        <w:tc>
          <w:tcPr>
            <w:tcW w:w="2961" w:type="dxa"/>
            <w:tcBorders>
              <w:left w:val="nil"/>
              <w:bottom w:val="single" w:sz="4" w:space="0" w:color="000000" w:themeColor="text1"/>
              <w:right w:val="nil"/>
            </w:tcBorders>
            <w:vAlign w:val="center"/>
          </w:tcPr>
          <w:p w:rsidR="005431A5" w:rsidRPr="00F90957" w:rsidRDefault="005431A5" w:rsidP="00DA4337">
            <w:pPr>
              <w:pStyle w:val="NoSpacing"/>
              <w:rPr>
                <w:rFonts w:ascii="Times New Roman" w:hAnsi="Times New Roman" w:cs="Times New Roman"/>
                <w:bCs/>
                <w:sz w:val="24"/>
                <w:szCs w:val="24"/>
              </w:rPr>
            </w:pPr>
            <w:r w:rsidRPr="00F90957">
              <w:rPr>
                <w:rFonts w:ascii="Times New Roman" w:hAnsi="Times New Roman" w:cs="Times New Roman"/>
                <w:bCs/>
                <w:sz w:val="24"/>
                <w:szCs w:val="24"/>
              </w:rPr>
              <w:t>Outliers removed (Tukey’s method, natural-log TSH)</w:t>
            </w:r>
          </w:p>
        </w:tc>
        <w:tc>
          <w:tcPr>
            <w:tcW w:w="69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8151</w:t>
            </w:r>
          </w:p>
        </w:tc>
        <w:tc>
          <w:tcPr>
            <w:tcW w:w="133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(0.30-0.33)</w:t>
            </w:r>
          </w:p>
        </w:tc>
        <w:tc>
          <w:tcPr>
            <w:tcW w:w="174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9.77</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(9.46-10.32)</w:t>
            </w:r>
          </w:p>
        </w:tc>
        <w:tc>
          <w:tcPr>
            <w:tcW w:w="69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7883</w:t>
            </w:r>
          </w:p>
        </w:tc>
        <w:tc>
          <w:tcPr>
            <w:tcW w:w="1427"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(0.34-0.37)</w:t>
            </w:r>
          </w:p>
        </w:tc>
        <w:tc>
          <w:tcPr>
            <w:tcW w:w="1412"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7.54</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(7.37-7.74)</w:t>
            </w:r>
          </w:p>
        </w:tc>
      </w:tr>
      <w:tr w:rsidR="005431A5" w:rsidRPr="00F90957" w:rsidTr="00A813CA">
        <w:trPr>
          <w:trHeight w:val="576"/>
        </w:trPr>
        <w:tc>
          <w:tcPr>
            <w:tcW w:w="2961" w:type="dxa"/>
            <w:tcBorders>
              <w:left w:val="nil"/>
              <w:right w:val="nil"/>
            </w:tcBorders>
            <w:vAlign w:val="center"/>
          </w:tcPr>
          <w:p w:rsidR="005431A5" w:rsidRPr="00F90957" w:rsidRDefault="005431A5" w:rsidP="00DA4337">
            <w:pPr>
              <w:pStyle w:val="NoSpacing"/>
              <w:rPr>
                <w:rFonts w:ascii="Times New Roman" w:hAnsi="Times New Roman" w:cs="Times New Roman"/>
                <w:bCs/>
                <w:sz w:val="24"/>
                <w:szCs w:val="24"/>
              </w:rPr>
            </w:pPr>
            <w:r w:rsidRPr="00F90957">
              <w:rPr>
                <w:rFonts w:ascii="Times New Roman" w:hAnsi="Times New Roman" w:cs="Times New Roman"/>
                <w:bCs/>
                <w:sz w:val="24"/>
                <w:szCs w:val="24"/>
              </w:rPr>
              <w:t>Outliers removed (Tukey’s method, non-transformed TSH)</w:t>
            </w:r>
          </w:p>
        </w:tc>
        <w:tc>
          <w:tcPr>
            <w:tcW w:w="696"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8052</w:t>
            </w:r>
          </w:p>
        </w:tc>
        <w:tc>
          <w:tcPr>
            <w:tcW w:w="1333"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(0.05-0.08)</w:t>
            </w:r>
          </w:p>
        </w:tc>
        <w:tc>
          <w:tcPr>
            <w:tcW w:w="1741"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6.04</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(5.97-6.12)</w:t>
            </w:r>
          </w:p>
        </w:tc>
        <w:tc>
          <w:tcPr>
            <w:tcW w:w="696"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7717</w:t>
            </w:r>
          </w:p>
        </w:tc>
        <w:tc>
          <w:tcPr>
            <w:tcW w:w="1427"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(0.21-0.24)</w:t>
            </w:r>
          </w:p>
        </w:tc>
        <w:tc>
          <w:tcPr>
            <w:tcW w:w="1412"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(5.75-5.90)</w:t>
            </w:r>
          </w:p>
        </w:tc>
      </w:tr>
    </w:tbl>
    <w:p w:rsidR="00494373" w:rsidRDefault="00E57E22" w:rsidP="00494373">
      <w:pPr>
        <w:autoSpaceDE w:val="0"/>
        <w:autoSpaceDN w:val="0"/>
        <w:adjustRightInd w:val="0"/>
        <w:spacing w:after="0" w:line="240" w:lineRule="auto"/>
        <w:jc w:val="center"/>
        <w:rPr>
          <w:rFonts w:ascii="Times New Roman" w:hAnsi="Times New Roman" w:cs="Times New Roman"/>
          <w:bCs/>
          <w:sz w:val="24"/>
          <w:szCs w:val="24"/>
        </w:rPr>
      </w:pPr>
      <w:r w:rsidRPr="00F90957">
        <w:rPr>
          <w:rFonts w:ascii="Times New Roman" w:hAnsi="Times New Roman" w:cs="Times New Roman"/>
          <w:b/>
          <w:sz w:val="24"/>
          <w:szCs w:val="24"/>
        </w:rPr>
        <w:t xml:space="preserve">Table </w:t>
      </w:r>
      <w:r w:rsidR="00001FAF">
        <w:rPr>
          <w:rFonts w:ascii="Times New Roman" w:hAnsi="Times New Roman" w:cs="Times New Roman"/>
          <w:b/>
          <w:sz w:val="24"/>
          <w:szCs w:val="24"/>
        </w:rPr>
        <w:t>I</w:t>
      </w:r>
      <w:r w:rsidRPr="00F90957">
        <w:rPr>
          <w:rFonts w:ascii="Times New Roman" w:hAnsi="Times New Roman" w:cs="Times New Roman"/>
          <w:b/>
          <w:sz w:val="24"/>
          <w:szCs w:val="24"/>
        </w:rPr>
        <w:t xml:space="preserve">: </w:t>
      </w:r>
      <w:r w:rsidRPr="00F90957">
        <w:rPr>
          <w:rFonts w:ascii="Times New Roman" w:hAnsi="Times New Roman" w:cs="Times New Roman"/>
          <w:bCs/>
          <w:sz w:val="24"/>
          <w:szCs w:val="24"/>
        </w:rPr>
        <w:t>Reference intervals of TSH (mIU/L) for the total participants</w:t>
      </w:r>
    </w:p>
    <w:p w:rsidR="00494373" w:rsidRDefault="00494373">
      <w:pPr>
        <w:rPr>
          <w:rFonts w:ascii="Times New Roman" w:hAnsi="Times New Roman" w:cs="Times New Roman"/>
          <w:bCs/>
          <w:sz w:val="24"/>
          <w:szCs w:val="24"/>
        </w:rPr>
      </w:pPr>
      <w:r>
        <w:rPr>
          <w:rFonts w:ascii="Times New Roman" w:hAnsi="Times New Roman" w:cs="Times New Roman"/>
          <w:bCs/>
          <w:sz w:val="24"/>
          <w:szCs w:val="24"/>
        </w:rPr>
        <w:br w:type="page"/>
      </w:r>
    </w:p>
    <w:tbl>
      <w:tblPr>
        <w:tblStyle w:val="TableGrid"/>
        <w:tblW w:w="9438" w:type="dxa"/>
        <w:tblLook w:val="04A0"/>
      </w:tblPr>
      <w:tblGrid>
        <w:gridCol w:w="2143"/>
        <w:gridCol w:w="714"/>
        <w:gridCol w:w="1356"/>
        <w:gridCol w:w="1401"/>
        <w:gridCol w:w="701"/>
        <w:gridCol w:w="1540"/>
        <w:gridCol w:w="1583"/>
      </w:tblGrid>
      <w:tr w:rsidR="005431A5" w:rsidRPr="00F90957" w:rsidTr="00845C90">
        <w:trPr>
          <w:trHeight w:val="355"/>
        </w:trPr>
        <w:tc>
          <w:tcPr>
            <w:tcW w:w="2143" w:type="dxa"/>
            <w:vMerge w:val="restart"/>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p>
        </w:tc>
        <w:tc>
          <w:tcPr>
            <w:tcW w:w="7295" w:type="dxa"/>
            <w:gridSpan w:val="6"/>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sz w:val="24"/>
                <w:szCs w:val="24"/>
              </w:rPr>
            </w:pPr>
            <w:r w:rsidRPr="00F90957">
              <w:rPr>
                <w:rFonts w:ascii="Times New Roman" w:hAnsi="Times New Roman" w:cs="Times New Roman"/>
                <w:b/>
                <w:sz w:val="24"/>
                <w:szCs w:val="24"/>
              </w:rPr>
              <w:t>Outlier removal (Tukey’s Method) performed in</w:t>
            </w:r>
          </w:p>
        </w:tc>
      </w:tr>
      <w:tr w:rsidR="005431A5" w:rsidRPr="00F90957" w:rsidTr="00845C90">
        <w:trPr>
          <w:trHeight w:val="355"/>
        </w:trPr>
        <w:tc>
          <w:tcPr>
            <w:tcW w:w="2143" w:type="dxa"/>
            <w:vMerge/>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p>
        </w:tc>
        <w:tc>
          <w:tcPr>
            <w:tcW w:w="3471" w:type="dxa"/>
            <w:gridSpan w:val="3"/>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TSH (Non-Transformed)</w:t>
            </w:r>
          </w:p>
        </w:tc>
        <w:tc>
          <w:tcPr>
            <w:tcW w:w="3824" w:type="dxa"/>
            <w:gridSpan w:val="3"/>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sz w:val="24"/>
                <w:szCs w:val="24"/>
              </w:rPr>
              <w:t>TSH (Natural log transformed)</w:t>
            </w:r>
          </w:p>
        </w:tc>
      </w:tr>
      <w:tr w:rsidR="005431A5" w:rsidRPr="00F90957" w:rsidTr="00845C90">
        <w:trPr>
          <w:trHeight w:val="355"/>
        </w:trPr>
        <w:tc>
          <w:tcPr>
            <w:tcW w:w="2143" w:type="dxa"/>
            <w:vMerge/>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N</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2.5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97.5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 </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N</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2.5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97.5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 </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r>
      <w:tr w:rsidR="005431A5" w:rsidRPr="00F90957" w:rsidTr="00A813CA">
        <w:trPr>
          <w:trHeight w:val="261"/>
        </w:trPr>
        <w:tc>
          <w:tcPr>
            <w:tcW w:w="9438" w:type="dxa"/>
            <w:gridSpan w:val="7"/>
            <w:tcBorders>
              <w:left w:val="nil"/>
              <w:right w:val="nil"/>
            </w:tcBorders>
            <w:vAlign w:val="center"/>
          </w:tcPr>
          <w:p w:rsidR="005431A5" w:rsidRPr="00F90957" w:rsidRDefault="005431A5" w:rsidP="00DA4337">
            <w:pPr>
              <w:pStyle w:val="ListParagraph"/>
              <w:numPr>
                <w:ilvl w:val="0"/>
                <w:numId w:val="10"/>
              </w:numPr>
              <w:autoSpaceDE w:val="0"/>
              <w:autoSpaceDN w:val="0"/>
              <w:adjustRightInd w:val="0"/>
              <w:ind w:left="180" w:hanging="180"/>
              <w:rPr>
                <w:rFonts w:ascii="Times New Roman" w:hAnsi="Times New Roman" w:cs="Times New Roman"/>
                <w:sz w:val="24"/>
                <w:szCs w:val="24"/>
                <w:lang w:bidi="ne-NP"/>
              </w:rPr>
            </w:pPr>
            <w:r w:rsidRPr="00F90957">
              <w:rPr>
                <w:rFonts w:ascii="Times New Roman" w:hAnsi="Times New Roman" w:cs="Times New Roman"/>
                <w:b/>
                <w:bCs/>
                <w:sz w:val="24"/>
                <w:szCs w:val="24"/>
                <w:lang w:bidi="ne-NP"/>
              </w:rPr>
              <w:t>Gender</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Male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1975</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0.05</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(0.04-0.07)</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(5.75-6.11)</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1977</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 xml:space="preserve">0.30 </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(0.28-0.33)</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9.28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(8.30-11.28)</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Female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6077</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0.07</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(0.05-0.09)</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6.07</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(5.98-6.14)</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6174</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(0.30-0.33)</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9.81 </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(9.51-10.46)</w:t>
            </w:r>
          </w:p>
        </w:tc>
      </w:tr>
      <w:tr w:rsidR="005431A5" w:rsidRPr="00F90957" w:rsidTr="00A813CA">
        <w:trPr>
          <w:trHeight w:val="261"/>
        </w:trPr>
        <w:tc>
          <w:tcPr>
            <w:tcW w:w="9438" w:type="dxa"/>
            <w:gridSpan w:val="7"/>
            <w:tcBorders>
              <w:left w:val="nil"/>
              <w:right w:val="nil"/>
            </w:tcBorders>
            <w:vAlign w:val="center"/>
          </w:tcPr>
          <w:p w:rsidR="005431A5" w:rsidRPr="00F90957" w:rsidRDefault="005431A5" w:rsidP="00DA4337">
            <w:pPr>
              <w:pStyle w:val="ListParagraph"/>
              <w:numPr>
                <w:ilvl w:val="0"/>
                <w:numId w:val="10"/>
              </w:numPr>
              <w:autoSpaceDE w:val="0"/>
              <w:autoSpaceDN w:val="0"/>
              <w:adjustRightInd w:val="0"/>
              <w:ind w:left="180" w:hanging="180"/>
              <w:rPr>
                <w:rFonts w:ascii="Times New Roman" w:hAnsi="Times New Roman" w:cs="Times New Roman"/>
                <w:sz w:val="24"/>
                <w:szCs w:val="24"/>
                <w:lang w:bidi="ne-NP"/>
              </w:rPr>
            </w:pPr>
            <w:r w:rsidRPr="00F90957">
              <w:rPr>
                <w:rFonts w:ascii="Times New Roman" w:hAnsi="Times New Roman" w:cs="Times New Roman"/>
                <w:b/>
                <w:bCs/>
                <w:sz w:val="24"/>
                <w:szCs w:val="24"/>
                <w:lang w:bidi="ne-NP"/>
              </w:rPr>
              <w:t xml:space="preserve">Age Groups </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&lt; 30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1717</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0.19</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(0.13-0.24)</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5.96</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(5.65-6.13)</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1741</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0.38</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(0.33-0.45)</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8.33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(7.45-9.13)</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30-40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1673</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0.10</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(0.06-0.17)</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6.14</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(5.97-6.25)</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1704</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0.41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(0.37-0.45)</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9.58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(8.95-10.58)</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40-50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1822</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0.11</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(0.06-0.14)</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6.12</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(5.95-6.29)</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1869</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0.40</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(0.36-0.43)</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10.16</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(9.32-10.89)</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50-60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1379</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0.05</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(0.03-0.08)</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6.03</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(5.81-6.24)</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1409</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(0.28-0.34)</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10.68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(9.71-11.82)</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≥60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1461</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(0.02-0.04)</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5.99</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(5.74-6.20)</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1428</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0.22</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(0.21-0.24)</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11.38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(9.74-12.79)</w:t>
            </w:r>
          </w:p>
        </w:tc>
      </w:tr>
      <w:tr w:rsidR="005431A5" w:rsidRPr="00F90957" w:rsidTr="00A813CA">
        <w:trPr>
          <w:trHeight w:val="261"/>
        </w:trPr>
        <w:tc>
          <w:tcPr>
            <w:tcW w:w="9438" w:type="dxa"/>
            <w:gridSpan w:val="7"/>
            <w:tcBorders>
              <w:left w:val="nil"/>
              <w:right w:val="nil"/>
            </w:tcBorders>
            <w:vAlign w:val="center"/>
          </w:tcPr>
          <w:p w:rsidR="005431A5" w:rsidRPr="00F90957" w:rsidRDefault="005431A5" w:rsidP="00DA4337">
            <w:pPr>
              <w:pStyle w:val="ListParagraph"/>
              <w:numPr>
                <w:ilvl w:val="0"/>
                <w:numId w:val="10"/>
              </w:numPr>
              <w:autoSpaceDE w:val="0"/>
              <w:autoSpaceDN w:val="0"/>
              <w:adjustRightInd w:val="0"/>
              <w:ind w:left="180" w:hanging="180"/>
              <w:rPr>
                <w:rFonts w:ascii="Times New Roman" w:hAnsi="Times New Roman" w:cs="Times New Roman"/>
                <w:sz w:val="24"/>
                <w:szCs w:val="24"/>
                <w:lang w:bidi="ne-NP"/>
              </w:rPr>
            </w:pPr>
            <w:r w:rsidRPr="00F90957">
              <w:rPr>
                <w:rFonts w:ascii="Times New Roman" w:hAnsi="Times New Roman" w:cs="Times New Roman"/>
                <w:b/>
                <w:bCs/>
                <w:sz w:val="24"/>
                <w:szCs w:val="24"/>
                <w:lang w:bidi="ne-NP"/>
              </w:rPr>
              <w:t>Ethnic Groups</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Indo-Aryan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5370</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(0.06-0.10)</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6.11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(6.00-6.20)</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5475</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(0.30-0.33)</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9.89</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(9.45-10.49)</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Tibeto-Burman</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1091</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0.04</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(0.03-0.05)</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5.94</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(5.78-6.13)</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1081</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(0.28-0.35)</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9.39</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(8.27-11.13)</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Newar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502</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(0.02-0.13)</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5.80</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(5.50-5.95)</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510</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0.30</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(0.26-0.40)</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10.75</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(8.85-12.39)</w:t>
            </w:r>
          </w:p>
        </w:tc>
      </w:tr>
      <w:tr w:rsidR="005431A5" w:rsidRPr="00F90957" w:rsidTr="00845C90">
        <w:trPr>
          <w:trHeight w:val="279"/>
        </w:trPr>
        <w:tc>
          <w:tcPr>
            <w:tcW w:w="2143" w:type="dxa"/>
            <w:tcBorders>
              <w:left w:val="nil"/>
              <w:right w:val="nil"/>
            </w:tcBorders>
            <w:vAlign w:val="center"/>
          </w:tcPr>
          <w:p w:rsidR="005431A5" w:rsidRPr="00F90957" w:rsidRDefault="005431A5" w:rsidP="00DA4337">
            <w:pPr>
              <w:pStyle w:val="ListParagraph"/>
              <w:numPr>
                <w:ilvl w:val="1"/>
                <w:numId w:val="10"/>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Miscellaneous</w:t>
            </w:r>
          </w:p>
        </w:tc>
        <w:tc>
          <w:tcPr>
            <w:tcW w:w="714" w:type="dxa"/>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1089</w:t>
            </w:r>
          </w:p>
        </w:tc>
        <w:tc>
          <w:tcPr>
            <w:tcW w:w="1356"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0.06</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(0.04-0.11)</w:t>
            </w:r>
          </w:p>
        </w:tc>
        <w:tc>
          <w:tcPr>
            <w:tcW w:w="1401"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6.02</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(5.83-6.26)</w:t>
            </w:r>
          </w:p>
        </w:tc>
        <w:tc>
          <w:tcPr>
            <w:tcW w:w="701" w:type="dxa"/>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1085</w:t>
            </w:r>
          </w:p>
        </w:tc>
        <w:tc>
          <w:tcPr>
            <w:tcW w:w="1540"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0.30</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(0.24-0.35)</w:t>
            </w:r>
          </w:p>
        </w:tc>
        <w:tc>
          <w:tcPr>
            <w:tcW w:w="1583"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9.80</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(7.80-10.92)</w:t>
            </w:r>
          </w:p>
        </w:tc>
      </w:tr>
    </w:tbl>
    <w:p w:rsidR="00745C81" w:rsidRDefault="00845C90" w:rsidP="00494373">
      <w:pPr>
        <w:autoSpaceDE w:val="0"/>
        <w:autoSpaceDN w:val="0"/>
        <w:adjustRightInd w:val="0"/>
        <w:spacing w:after="0" w:line="240" w:lineRule="auto"/>
        <w:jc w:val="center"/>
        <w:rPr>
          <w:rFonts w:ascii="Times New Roman" w:hAnsi="Times New Roman" w:cs="Times New Roman"/>
          <w:b/>
          <w:sz w:val="24"/>
          <w:szCs w:val="24"/>
        </w:rPr>
      </w:pPr>
      <w:r w:rsidRPr="00F90957">
        <w:rPr>
          <w:rFonts w:ascii="Times New Roman" w:hAnsi="Times New Roman" w:cs="Times New Roman"/>
          <w:b/>
          <w:sz w:val="24"/>
          <w:szCs w:val="24"/>
        </w:rPr>
        <w:t xml:space="preserve">Table </w:t>
      </w:r>
      <w:r w:rsidR="00001FAF">
        <w:rPr>
          <w:rFonts w:ascii="Times New Roman" w:hAnsi="Times New Roman" w:cs="Times New Roman"/>
          <w:b/>
          <w:sz w:val="24"/>
          <w:szCs w:val="24"/>
        </w:rPr>
        <w:t>II</w:t>
      </w:r>
      <w:r w:rsidRPr="00F90957">
        <w:rPr>
          <w:rFonts w:ascii="Times New Roman" w:hAnsi="Times New Roman" w:cs="Times New Roman"/>
          <w:b/>
          <w:sz w:val="24"/>
          <w:szCs w:val="24"/>
        </w:rPr>
        <w:t xml:space="preserve">: </w:t>
      </w:r>
      <w:r w:rsidRPr="00F90957">
        <w:rPr>
          <w:rFonts w:ascii="Times New Roman" w:hAnsi="Times New Roman" w:cs="Times New Roman"/>
          <w:bCs/>
          <w:sz w:val="24"/>
          <w:szCs w:val="24"/>
        </w:rPr>
        <w:t>Reference intervals of TSH (mIU/L) for different subgroups of gender, age and ethnicity after remo</w:t>
      </w:r>
      <w:r>
        <w:rPr>
          <w:rFonts w:ascii="Times New Roman" w:hAnsi="Times New Roman" w:cs="Times New Roman"/>
          <w:bCs/>
          <w:sz w:val="24"/>
          <w:szCs w:val="24"/>
        </w:rPr>
        <w:t xml:space="preserve">ving outliers by Tukey’s method, “Method-1” </w:t>
      </w:r>
      <w:r w:rsidRPr="00F90957">
        <w:rPr>
          <w:rFonts w:ascii="Times New Roman" w:hAnsi="Times New Roman" w:cs="Times New Roman"/>
          <w:bCs/>
          <w:sz w:val="24"/>
          <w:szCs w:val="24"/>
        </w:rPr>
        <w:t>(TSH: 0.02-98.8 mIU/L)</w:t>
      </w:r>
    </w:p>
    <w:p w:rsidR="00494373" w:rsidRDefault="00494373">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W w:w="9438" w:type="dxa"/>
        <w:tblLook w:val="04A0"/>
      </w:tblPr>
      <w:tblGrid>
        <w:gridCol w:w="2143"/>
        <w:gridCol w:w="714"/>
        <w:gridCol w:w="1356"/>
        <w:gridCol w:w="1401"/>
        <w:gridCol w:w="701"/>
        <w:gridCol w:w="1540"/>
        <w:gridCol w:w="1583"/>
      </w:tblGrid>
      <w:tr w:rsidR="005431A5" w:rsidRPr="00F90957" w:rsidTr="00845C90">
        <w:trPr>
          <w:trHeight w:val="355"/>
        </w:trPr>
        <w:tc>
          <w:tcPr>
            <w:tcW w:w="2143" w:type="dxa"/>
            <w:vMerge w:val="restart"/>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p>
        </w:tc>
        <w:tc>
          <w:tcPr>
            <w:tcW w:w="7295" w:type="dxa"/>
            <w:gridSpan w:val="6"/>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sz w:val="24"/>
                <w:szCs w:val="24"/>
              </w:rPr>
            </w:pPr>
            <w:r w:rsidRPr="00F90957">
              <w:rPr>
                <w:rFonts w:ascii="Times New Roman" w:hAnsi="Times New Roman" w:cs="Times New Roman"/>
                <w:b/>
                <w:sz w:val="24"/>
                <w:szCs w:val="24"/>
              </w:rPr>
              <w:t>Outlier removal (Tukey’s Method) performed in</w:t>
            </w:r>
          </w:p>
        </w:tc>
      </w:tr>
      <w:tr w:rsidR="005431A5" w:rsidRPr="00F90957" w:rsidTr="00845C90">
        <w:trPr>
          <w:trHeight w:val="355"/>
        </w:trPr>
        <w:tc>
          <w:tcPr>
            <w:tcW w:w="2143" w:type="dxa"/>
            <w:vMerge/>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p>
        </w:tc>
        <w:tc>
          <w:tcPr>
            <w:tcW w:w="3471" w:type="dxa"/>
            <w:gridSpan w:val="3"/>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TSH (Non-Transformed)</w:t>
            </w:r>
          </w:p>
        </w:tc>
        <w:tc>
          <w:tcPr>
            <w:tcW w:w="3824" w:type="dxa"/>
            <w:gridSpan w:val="3"/>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sz w:val="24"/>
                <w:szCs w:val="24"/>
              </w:rPr>
              <w:t>TSH (Natural log transformed)</w:t>
            </w:r>
          </w:p>
        </w:tc>
      </w:tr>
      <w:tr w:rsidR="005431A5" w:rsidRPr="00F90957" w:rsidTr="00845C90">
        <w:trPr>
          <w:trHeight w:val="355"/>
        </w:trPr>
        <w:tc>
          <w:tcPr>
            <w:tcW w:w="2143" w:type="dxa"/>
            <w:vMerge/>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N</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2.5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 </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97.5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N</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2.5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97.5</w:t>
            </w:r>
            <w:r w:rsidRPr="00F90957">
              <w:rPr>
                <w:rFonts w:ascii="Times New Roman" w:hAnsi="Times New Roman" w:cs="Times New Roman"/>
                <w:b/>
                <w:bCs/>
                <w:sz w:val="24"/>
                <w:szCs w:val="24"/>
                <w:vertAlign w:val="superscript"/>
                <w:lang w:bidi="ne-NP"/>
              </w:rPr>
              <w:t>th</w:t>
            </w:r>
            <w:r w:rsidRPr="00F90957">
              <w:rPr>
                <w:rFonts w:ascii="Times New Roman" w:hAnsi="Times New Roman" w:cs="Times New Roman"/>
                <w:b/>
                <w:bCs/>
                <w:sz w:val="24"/>
                <w:szCs w:val="24"/>
                <w:lang w:bidi="ne-NP"/>
              </w:rPr>
              <w:t xml:space="preserve"> Centile </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(90% CI)</w:t>
            </w:r>
          </w:p>
        </w:tc>
      </w:tr>
      <w:tr w:rsidR="005431A5" w:rsidRPr="00F90957" w:rsidTr="00A813CA">
        <w:trPr>
          <w:trHeight w:val="261"/>
        </w:trPr>
        <w:tc>
          <w:tcPr>
            <w:tcW w:w="9438" w:type="dxa"/>
            <w:gridSpan w:val="7"/>
            <w:tcBorders>
              <w:left w:val="nil"/>
              <w:right w:val="nil"/>
            </w:tcBorders>
            <w:vAlign w:val="center"/>
          </w:tcPr>
          <w:p w:rsidR="005431A5" w:rsidRPr="00F90957" w:rsidRDefault="005431A5" w:rsidP="00DA4337">
            <w:pPr>
              <w:pStyle w:val="ListParagraph"/>
              <w:numPr>
                <w:ilvl w:val="0"/>
                <w:numId w:val="12"/>
              </w:numPr>
              <w:autoSpaceDE w:val="0"/>
              <w:autoSpaceDN w:val="0"/>
              <w:adjustRightInd w:val="0"/>
              <w:ind w:left="180" w:hanging="180"/>
              <w:rPr>
                <w:rFonts w:ascii="Times New Roman" w:hAnsi="Times New Roman" w:cs="Times New Roman"/>
                <w:sz w:val="24"/>
                <w:szCs w:val="24"/>
                <w:lang w:bidi="ne-NP"/>
              </w:rPr>
            </w:pPr>
            <w:r w:rsidRPr="00F90957">
              <w:rPr>
                <w:rFonts w:ascii="Times New Roman" w:hAnsi="Times New Roman" w:cs="Times New Roman"/>
                <w:b/>
                <w:bCs/>
                <w:sz w:val="24"/>
                <w:szCs w:val="24"/>
                <w:lang w:bidi="ne-NP"/>
              </w:rPr>
              <w:t>Gender</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Male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1886</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0.21</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(0.19-0.24)</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5.64</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(5.42-5.79)</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1909</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(0.33-0.38)</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7.19</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(6.97-7.45)</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Female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5831</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(0.22-0.25)</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5.87</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(5.78-5.95)</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5974</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0.36</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(0.34-0.38)</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7.70</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(7.47-7.91)</w:t>
            </w:r>
          </w:p>
        </w:tc>
      </w:tr>
      <w:tr w:rsidR="005431A5" w:rsidRPr="00F90957" w:rsidTr="00A813CA">
        <w:trPr>
          <w:trHeight w:val="261"/>
        </w:trPr>
        <w:tc>
          <w:tcPr>
            <w:tcW w:w="9438" w:type="dxa"/>
            <w:gridSpan w:val="7"/>
            <w:tcBorders>
              <w:left w:val="nil"/>
              <w:right w:val="nil"/>
            </w:tcBorders>
            <w:vAlign w:val="center"/>
          </w:tcPr>
          <w:p w:rsidR="005431A5" w:rsidRPr="00F90957" w:rsidRDefault="005431A5" w:rsidP="00DA4337">
            <w:pPr>
              <w:pStyle w:val="ListParagraph"/>
              <w:numPr>
                <w:ilvl w:val="0"/>
                <w:numId w:val="12"/>
              </w:numPr>
              <w:autoSpaceDE w:val="0"/>
              <w:autoSpaceDN w:val="0"/>
              <w:adjustRightInd w:val="0"/>
              <w:ind w:left="180" w:hanging="180"/>
              <w:rPr>
                <w:rFonts w:ascii="Times New Roman" w:hAnsi="Times New Roman" w:cs="Times New Roman"/>
                <w:sz w:val="24"/>
                <w:szCs w:val="24"/>
                <w:lang w:bidi="ne-NP"/>
              </w:rPr>
            </w:pPr>
            <w:r w:rsidRPr="00F90957">
              <w:rPr>
                <w:rFonts w:ascii="Times New Roman" w:hAnsi="Times New Roman" w:cs="Times New Roman"/>
                <w:b/>
                <w:bCs/>
                <w:sz w:val="24"/>
                <w:szCs w:val="24"/>
                <w:lang w:bidi="ne-NP"/>
              </w:rPr>
              <w:t xml:space="preserve">Age Groups </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&lt; 30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1676</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0.32</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(0.28-0.36)</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5.65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(5.46-5.96)</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1707</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0.43</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(0.37-0.48)</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6.87</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(6.56-7.31)</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30-40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1613</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0.32</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(0.27-0.40)</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5.89</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(5.75-6.00)</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1662</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0.44</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(0.40-0.47)</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7.41</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(7.01-7.79)</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40-50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1755</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0.30</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(0.23-0.36)</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5.87</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(5.75-5.95)</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1815</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0.41</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(0.39-0.45)</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7.56</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(7.19-7.92)</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50-60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1311</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0.21</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(0.20-0.24)</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5.82</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(5.65-5.98)</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1350</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(0.33-0.38)</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8.11</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(7.68-8.39)</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≥60 years</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1362</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0.17</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(0.15-0.19)</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(5.34-5.97)</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1349</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0.27</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(0.26-0.30)</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7.77</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(7.40-8.07)</w:t>
            </w:r>
          </w:p>
        </w:tc>
      </w:tr>
      <w:tr w:rsidR="005431A5" w:rsidRPr="00F90957" w:rsidTr="00A813CA">
        <w:trPr>
          <w:trHeight w:val="261"/>
        </w:trPr>
        <w:tc>
          <w:tcPr>
            <w:tcW w:w="9438" w:type="dxa"/>
            <w:gridSpan w:val="7"/>
            <w:tcBorders>
              <w:left w:val="nil"/>
              <w:right w:val="nil"/>
            </w:tcBorders>
            <w:vAlign w:val="center"/>
          </w:tcPr>
          <w:p w:rsidR="005431A5" w:rsidRPr="00F90957" w:rsidRDefault="005431A5" w:rsidP="00DA4337">
            <w:pPr>
              <w:pStyle w:val="ListParagraph"/>
              <w:numPr>
                <w:ilvl w:val="0"/>
                <w:numId w:val="12"/>
              </w:numPr>
              <w:autoSpaceDE w:val="0"/>
              <w:autoSpaceDN w:val="0"/>
              <w:adjustRightInd w:val="0"/>
              <w:ind w:left="180" w:hanging="180"/>
              <w:rPr>
                <w:rFonts w:ascii="Times New Roman" w:hAnsi="Times New Roman" w:cs="Times New Roman"/>
                <w:sz w:val="24"/>
                <w:szCs w:val="24"/>
                <w:lang w:bidi="ne-NP"/>
              </w:rPr>
            </w:pPr>
            <w:r w:rsidRPr="00F90957">
              <w:rPr>
                <w:rFonts w:ascii="Times New Roman" w:hAnsi="Times New Roman" w:cs="Times New Roman"/>
                <w:b/>
                <w:bCs/>
                <w:sz w:val="24"/>
                <w:szCs w:val="24"/>
                <w:lang w:bidi="ne-NP"/>
              </w:rPr>
              <w:t>Ethnic Groups</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Indo-Aryan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5157</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0.22</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(0.21-0.24)</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5.83</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(5.71-5.94)</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5288</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0.36</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(0.34-0.38)</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7.68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(7.45-7.93)</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Tibeto-Burman</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1034</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(0.20-0.28)</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5.82</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(5.47-5.96)</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1051</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0.34</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(0.31-0.36)</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7.62</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(6.80-7.87)</w:t>
            </w:r>
          </w:p>
        </w:tc>
      </w:tr>
      <w:tr w:rsidR="005431A5" w:rsidRPr="00F90957" w:rsidTr="00845C90">
        <w:trPr>
          <w:trHeight w:val="261"/>
        </w:trPr>
        <w:tc>
          <w:tcPr>
            <w:tcW w:w="2143" w:type="dxa"/>
            <w:tcBorders>
              <w:left w:val="nil"/>
              <w:bottom w:val="single" w:sz="4" w:space="0" w:color="000000" w:themeColor="text1"/>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 xml:space="preserve">Newar </w:t>
            </w:r>
          </w:p>
        </w:tc>
        <w:tc>
          <w:tcPr>
            <w:tcW w:w="714"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480</w:t>
            </w:r>
          </w:p>
        </w:tc>
        <w:tc>
          <w:tcPr>
            <w:tcW w:w="1356"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0.26</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(0.23-0.35)</w:t>
            </w:r>
          </w:p>
        </w:tc>
        <w:tc>
          <w:tcPr>
            <w:tcW w:w="14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5.65</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(5.33-5.88)</w:t>
            </w:r>
          </w:p>
        </w:tc>
        <w:tc>
          <w:tcPr>
            <w:tcW w:w="701"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493</w:t>
            </w:r>
          </w:p>
        </w:tc>
        <w:tc>
          <w:tcPr>
            <w:tcW w:w="1540"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0.33</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(0.29-0.41)</w:t>
            </w:r>
          </w:p>
        </w:tc>
        <w:tc>
          <w:tcPr>
            <w:tcW w:w="1583" w:type="dxa"/>
            <w:tcBorders>
              <w:left w:val="nil"/>
              <w:bottom w:val="single" w:sz="4" w:space="0" w:color="000000" w:themeColor="text1"/>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7.93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(6.63-8.52)</w:t>
            </w:r>
          </w:p>
        </w:tc>
      </w:tr>
      <w:tr w:rsidR="005431A5" w:rsidRPr="00F90957" w:rsidTr="00845C90">
        <w:trPr>
          <w:trHeight w:val="279"/>
        </w:trPr>
        <w:tc>
          <w:tcPr>
            <w:tcW w:w="2143" w:type="dxa"/>
            <w:tcBorders>
              <w:left w:val="nil"/>
              <w:right w:val="nil"/>
            </w:tcBorders>
            <w:vAlign w:val="center"/>
          </w:tcPr>
          <w:p w:rsidR="005431A5" w:rsidRPr="00F90957" w:rsidRDefault="005431A5" w:rsidP="00DA4337">
            <w:pPr>
              <w:pStyle w:val="ListParagraph"/>
              <w:numPr>
                <w:ilvl w:val="1"/>
                <w:numId w:val="12"/>
              </w:numPr>
              <w:autoSpaceDE w:val="0"/>
              <w:autoSpaceDN w:val="0"/>
              <w:adjustRightInd w:val="0"/>
              <w:ind w:left="360" w:hanging="180"/>
              <w:rPr>
                <w:rFonts w:ascii="Times New Roman" w:hAnsi="Times New Roman" w:cs="Times New Roman"/>
                <w:sz w:val="24"/>
                <w:szCs w:val="24"/>
                <w:lang w:bidi="ne-NP"/>
              </w:rPr>
            </w:pPr>
            <w:r w:rsidRPr="00F90957">
              <w:rPr>
                <w:rFonts w:ascii="Times New Roman" w:hAnsi="Times New Roman" w:cs="Times New Roman"/>
                <w:sz w:val="24"/>
                <w:szCs w:val="24"/>
                <w:lang w:bidi="ne-NP"/>
              </w:rPr>
              <w:t>Miscellaneous</w:t>
            </w:r>
          </w:p>
        </w:tc>
        <w:tc>
          <w:tcPr>
            <w:tcW w:w="714" w:type="dxa"/>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1046</w:t>
            </w:r>
          </w:p>
        </w:tc>
        <w:tc>
          <w:tcPr>
            <w:tcW w:w="1356"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0.23</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(0.20-0.24)</w:t>
            </w:r>
          </w:p>
        </w:tc>
        <w:tc>
          <w:tcPr>
            <w:tcW w:w="1401"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5.86</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(5.74-6.01)</w:t>
            </w:r>
          </w:p>
        </w:tc>
        <w:tc>
          <w:tcPr>
            <w:tcW w:w="701" w:type="dxa"/>
            <w:tcBorders>
              <w:left w:val="nil"/>
              <w:right w:val="nil"/>
            </w:tcBorders>
            <w:vAlign w:val="center"/>
          </w:tcPr>
          <w:p w:rsidR="005431A5" w:rsidRPr="00F90957" w:rsidRDefault="005431A5" w:rsidP="00DA4337">
            <w:pPr>
              <w:autoSpaceDE w:val="0"/>
              <w:autoSpaceDN w:val="0"/>
              <w:adjustRightInd w:val="0"/>
              <w:rPr>
                <w:rFonts w:ascii="Times New Roman" w:hAnsi="Times New Roman" w:cs="Times New Roman"/>
                <w:sz w:val="24"/>
                <w:szCs w:val="24"/>
                <w:lang w:bidi="ne-NP"/>
              </w:rPr>
            </w:pPr>
            <w:r w:rsidRPr="00F90957">
              <w:rPr>
                <w:rFonts w:ascii="Times New Roman" w:hAnsi="Times New Roman" w:cs="Times New Roman"/>
                <w:sz w:val="24"/>
                <w:szCs w:val="24"/>
                <w:lang w:bidi="ne-NP"/>
              </w:rPr>
              <w:t>1051</w:t>
            </w:r>
          </w:p>
        </w:tc>
        <w:tc>
          <w:tcPr>
            <w:tcW w:w="1540"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0.33</w:t>
            </w:r>
          </w:p>
          <w:p w:rsidR="005431A5" w:rsidRPr="00F90957" w:rsidRDefault="005431A5" w:rsidP="00DA4337">
            <w:pPr>
              <w:autoSpaceDE w:val="0"/>
              <w:autoSpaceDN w:val="0"/>
              <w:adjustRightInd w:val="0"/>
              <w:jc w:val="center"/>
              <w:rPr>
                <w:rFonts w:ascii="Times New Roman" w:hAnsi="Times New Roman" w:cs="Times New Roman"/>
                <w:b/>
                <w:bCs/>
                <w:sz w:val="24"/>
                <w:szCs w:val="24"/>
                <w:lang w:bidi="ne-NP"/>
              </w:rPr>
            </w:pPr>
            <w:r w:rsidRPr="00F90957">
              <w:rPr>
                <w:rFonts w:ascii="Times New Roman" w:hAnsi="Times New Roman" w:cs="Times New Roman"/>
                <w:b/>
                <w:bCs/>
                <w:sz w:val="24"/>
                <w:szCs w:val="24"/>
                <w:lang w:bidi="ne-NP"/>
              </w:rPr>
              <w:t>(0.30-0.40)</w:t>
            </w:r>
          </w:p>
        </w:tc>
        <w:tc>
          <w:tcPr>
            <w:tcW w:w="1583" w:type="dxa"/>
            <w:tcBorders>
              <w:left w:val="nil"/>
              <w:right w:val="nil"/>
            </w:tcBorders>
            <w:vAlign w:val="center"/>
          </w:tcPr>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6.78</w:t>
            </w:r>
          </w:p>
          <w:p w:rsidR="005431A5" w:rsidRPr="00F90957" w:rsidRDefault="005431A5" w:rsidP="00DA4337">
            <w:pPr>
              <w:autoSpaceDE w:val="0"/>
              <w:autoSpaceDN w:val="0"/>
              <w:adjustRightInd w:val="0"/>
              <w:jc w:val="center"/>
              <w:rPr>
                <w:rFonts w:ascii="Times New Roman" w:hAnsi="Times New Roman" w:cs="Times New Roman"/>
                <w:sz w:val="24"/>
                <w:szCs w:val="24"/>
                <w:lang w:bidi="ne-NP"/>
              </w:rPr>
            </w:pPr>
            <w:r w:rsidRPr="00F90957">
              <w:rPr>
                <w:rFonts w:ascii="Times New Roman" w:hAnsi="Times New Roman" w:cs="Times New Roman"/>
                <w:sz w:val="24"/>
                <w:szCs w:val="24"/>
                <w:lang w:bidi="ne-NP"/>
              </w:rPr>
              <w:t>(6.47-7.25)</w:t>
            </w:r>
          </w:p>
        </w:tc>
      </w:tr>
    </w:tbl>
    <w:p w:rsidR="005431A5" w:rsidRPr="00F90957" w:rsidRDefault="00845C90" w:rsidP="00494373">
      <w:pPr>
        <w:autoSpaceDE w:val="0"/>
        <w:autoSpaceDN w:val="0"/>
        <w:adjustRightInd w:val="0"/>
        <w:spacing w:after="0" w:line="240" w:lineRule="auto"/>
        <w:jc w:val="center"/>
        <w:rPr>
          <w:rFonts w:ascii="Times New Roman" w:hAnsi="Times New Roman" w:cs="Times New Roman"/>
          <w:b/>
          <w:sz w:val="24"/>
          <w:szCs w:val="24"/>
        </w:rPr>
      </w:pPr>
      <w:r w:rsidRPr="00F90957">
        <w:rPr>
          <w:rFonts w:ascii="Times New Roman" w:hAnsi="Times New Roman" w:cs="Times New Roman"/>
          <w:b/>
          <w:sz w:val="24"/>
          <w:szCs w:val="24"/>
        </w:rPr>
        <w:t xml:space="preserve">Table </w:t>
      </w:r>
      <w:r w:rsidR="00001FAF">
        <w:rPr>
          <w:rFonts w:ascii="Times New Roman" w:hAnsi="Times New Roman" w:cs="Times New Roman"/>
          <w:b/>
          <w:sz w:val="24"/>
          <w:szCs w:val="24"/>
        </w:rPr>
        <w:t>III</w:t>
      </w:r>
      <w:r w:rsidRPr="00F90957">
        <w:rPr>
          <w:rFonts w:ascii="Times New Roman" w:hAnsi="Times New Roman" w:cs="Times New Roman"/>
          <w:b/>
          <w:sz w:val="24"/>
          <w:szCs w:val="24"/>
        </w:rPr>
        <w:t xml:space="preserve">: </w:t>
      </w:r>
      <w:r w:rsidRPr="00F90957">
        <w:rPr>
          <w:rFonts w:ascii="Times New Roman" w:hAnsi="Times New Roman" w:cs="Times New Roman"/>
          <w:bCs/>
          <w:sz w:val="24"/>
          <w:szCs w:val="24"/>
        </w:rPr>
        <w:t>Reference intervals of TSH (mIU/L) for different subgroups of gender, age and ethnicity after removing outliers by Tukey’s method</w:t>
      </w:r>
      <w:r>
        <w:rPr>
          <w:rFonts w:ascii="Times New Roman" w:hAnsi="Times New Roman" w:cs="Times New Roman"/>
          <w:bCs/>
          <w:sz w:val="24"/>
          <w:szCs w:val="24"/>
        </w:rPr>
        <w:t>, “Method-2”</w:t>
      </w:r>
      <w:r w:rsidRPr="00F90957">
        <w:rPr>
          <w:rFonts w:ascii="Times New Roman" w:hAnsi="Times New Roman" w:cs="Times New Roman"/>
          <w:bCs/>
          <w:sz w:val="24"/>
          <w:szCs w:val="24"/>
        </w:rPr>
        <w:t xml:space="preserve"> (TSH 0.102-9.99 mIU/L)</w:t>
      </w:r>
    </w:p>
    <w:p w:rsidR="00A04594" w:rsidRDefault="00790CC3" w:rsidP="00494373">
      <w:pPr>
        <w:pStyle w:val="NoSpacing"/>
        <w:jc w:val="center"/>
        <w:rPr>
          <w:rFonts w:ascii="Times New Roman" w:hAnsi="Times New Roman" w:cs="Times New Roman"/>
          <w:sz w:val="24"/>
          <w:szCs w:val="24"/>
        </w:rPr>
      </w:pPr>
      <w:r>
        <w:rPr>
          <w:noProof/>
          <w:lang w:bidi="ne-NP"/>
        </w:rPr>
        <w:lastRenderedPageBreak/>
        <w:drawing>
          <wp:inline distT="0" distB="0" distL="0" distR="0">
            <wp:extent cx="4572000" cy="1666875"/>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073579">
        <w:rPr>
          <w:noProof/>
          <w:lang w:bidi="ne-NP"/>
        </w:rPr>
        <w:drawing>
          <wp:inline distT="0" distB="0" distL="0" distR="0">
            <wp:extent cx="4572000" cy="1704976"/>
            <wp:effectExtent l="19050" t="0" r="19050" b="9524"/>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6463" w:rsidRDefault="009659C6" w:rsidP="00494373">
      <w:pPr>
        <w:pStyle w:val="NoSpacing"/>
        <w:jc w:val="center"/>
        <w:rPr>
          <w:rFonts w:ascii="Times New Roman" w:hAnsi="Times New Roman" w:cs="Times New Roman"/>
          <w:sz w:val="24"/>
          <w:szCs w:val="24"/>
        </w:rPr>
      </w:pPr>
      <w:r w:rsidRPr="0087629A">
        <w:rPr>
          <w:rFonts w:ascii="Times New Roman" w:hAnsi="Times New Roman" w:cs="Times New Roman"/>
          <w:b/>
          <w:bCs/>
          <w:sz w:val="24"/>
          <w:szCs w:val="24"/>
        </w:rPr>
        <w:t xml:space="preserve">Figure </w:t>
      </w:r>
      <w:r w:rsidR="00B81492" w:rsidRPr="0087629A">
        <w:rPr>
          <w:rFonts w:ascii="Times New Roman" w:hAnsi="Times New Roman" w:cs="Times New Roman"/>
          <w:b/>
          <w:bCs/>
          <w:sz w:val="24"/>
          <w:szCs w:val="24"/>
        </w:rPr>
        <w:t>I</w:t>
      </w:r>
      <w:r w:rsidRPr="0087629A">
        <w:rPr>
          <w:rFonts w:ascii="Times New Roman" w:hAnsi="Times New Roman" w:cs="Times New Roman"/>
          <w:b/>
          <w:bCs/>
          <w:sz w:val="24"/>
          <w:szCs w:val="24"/>
        </w:rPr>
        <w:t>:</w:t>
      </w:r>
      <w:r>
        <w:rPr>
          <w:rFonts w:ascii="Times New Roman" w:hAnsi="Times New Roman" w:cs="Times New Roman"/>
          <w:sz w:val="24"/>
          <w:szCs w:val="24"/>
        </w:rPr>
        <w:t xml:space="preserve"> Lower and upper limits of TSH </w:t>
      </w:r>
      <w:r w:rsidR="00B93CED">
        <w:rPr>
          <w:rFonts w:ascii="Times New Roman" w:hAnsi="Times New Roman" w:cs="Times New Roman"/>
          <w:sz w:val="24"/>
          <w:szCs w:val="24"/>
        </w:rPr>
        <w:t xml:space="preserve">(mIU/L) </w:t>
      </w:r>
      <w:r>
        <w:rPr>
          <w:rFonts w:ascii="Times New Roman" w:hAnsi="Times New Roman" w:cs="Times New Roman"/>
          <w:sz w:val="24"/>
          <w:szCs w:val="24"/>
        </w:rPr>
        <w:t>in male (blue) and female (red) study participants</w:t>
      </w:r>
      <w:r w:rsidR="000D0DF2">
        <w:rPr>
          <w:rFonts w:ascii="Times New Roman" w:hAnsi="Times New Roman" w:cs="Times New Roman"/>
          <w:sz w:val="24"/>
          <w:szCs w:val="24"/>
        </w:rPr>
        <w:t xml:space="preserve"> by Method-1 and Method-2</w:t>
      </w:r>
    </w:p>
    <w:p w:rsidR="00146463" w:rsidRDefault="00146463">
      <w:pPr>
        <w:rPr>
          <w:rFonts w:ascii="Times New Roman" w:hAnsi="Times New Roman" w:cs="Times New Roman"/>
          <w:sz w:val="24"/>
          <w:szCs w:val="24"/>
        </w:rPr>
      </w:pPr>
      <w:r>
        <w:rPr>
          <w:rFonts w:ascii="Times New Roman" w:hAnsi="Times New Roman" w:cs="Times New Roman"/>
          <w:sz w:val="24"/>
          <w:szCs w:val="24"/>
        </w:rPr>
        <w:br w:type="page"/>
      </w:r>
    </w:p>
    <w:p w:rsidR="009659C6" w:rsidRDefault="00C912B1" w:rsidP="00494373">
      <w:pPr>
        <w:pStyle w:val="NoSpacing"/>
        <w:jc w:val="center"/>
        <w:rPr>
          <w:rFonts w:ascii="Times New Roman" w:hAnsi="Times New Roman" w:cs="Times New Roman"/>
          <w:sz w:val="24"/>
          <w:szCs w:val="24"/>
        </w:rPr>
      </w:pPr>
      <w:r>
        <w:rPr>
          <w:noProof/>
          <w:lang w:bidi="ne-NP"/>
        </w:rPr>
        <w:lastRenderedPageBreak/>
        <w:drawing>
          <wp:inline distT="0" distB="0" distL="0" distR="0">
            <wp:extent cx="4895851" cy="1743075"/>
            <wp:effectExtent l="19050" t="0" r="19049"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3579" w:rsidRDefault="009659C6" w:rsidP="00494373">
      <w:pPr>
        <w:pStyle w:val="NoSpacing"/>
        <w:jc w:val="center"/>
        <w:rPr>
          <w:rFonts w:ascii="Times New Roman" w:hAnsi="Times New Roman" w:cs="Times New Roman"/>
          <w:sz w:val="24"/>
          <w:szCs w:val="24"/>
        </w:rPr>
      </w:pPr>
      <w:r>
        <w:rPr>
          <w:noProof/>
          <w:lang w:bidi="ne-NP"/>
        </w:rPr>
        <w:drawing>
          <wp:inline distT="0" distB="0" distL="0" distR="0">
            <wp:extent cx="4895850" cy="16573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224D" w:rsidRDefault="00FA224D" w:rsidP="00494373">
      <w:pPr>
        <w:pStyle w:val="NoSpacing"/>
        <w:jc w:val="center"/>
        <w:rPr>
          <w:rFonts w:ascii="Times New Roman" w:hAnsi="Times New Roman" w:cs="Times New Roman"/>
          <w:sz w:val="24"/>
          <w:szCs w:val="24"/>
        </w:rPr>
      </w:pPr>
      <w:r w:rsidRPr="0087629A">
        <w:rPr>
          <w:rFonts w:ascii="Times New Roman" w:hAnsi="Times New Roman" w:cs="Times New Roman"/>
          <w:b/>
          <w:bCs/>
          <w:sz w:val="24"/>
          <w:szCs w:val="24"/>
        </w:rPr>
        <w:t xml:space="preserve">Figure </w:t>
      </w:r>
      <w:r w:rsidR="00B81492" w:rsidRPr="0087629A">
        <w:rPr>
          <w:rFonts w:ascii="Times New Roman" w:hAnsi="Times New Roman" w:cs="Times New Roman"/>
          <w:b/>
          <w:bCs/>
          <w:sz w:val="24"/>
          <w:szCs w:val="24"/>
        </w:rPr>
        <w:t>II</w:t>
      </w:r>
      <w:r w:rsidRPr="0087629A">
        <w:rPr>
          <w:rFonts w:ascii="Times New Roman" w:hAnsi="Times New Roman" w:cs="Times New Roman"/>
          <w:b/>
          <w:bCs/>
          <w:sz w:val="24"/>
          <w:szCs w:val="24"/>
        </w:rPr>
        <w:t>:</w:t>
      </w:r>
      <w:r>
        <w:rPr>
          <w:rFonts w:ascii="Times New Roman" w:hAnsi="Times New Roman" w:cs="Times New Roman"/>
          <w:sz w:val="24"/>
          <w:szCs w:val="24"/>
        </w:rPr>
        <w:t xml:space="preserve"> Lower and upper limits of TSH (mIU/L) in study participants of different age-groups by </w:t>
      </w:r>
      <w:r w:rsidR="000D0DF2">
        <w:rPr>
          <w:rFonts w:ascii="Times New Roman" w:hAnsi="Times New Roman" w:cs="Times New Roman"/>
          <w:sz w:val="24"/>
          <w:szCs w:val="24"/>
        </w:rPr>
        <w:t>method</w:t>
      </w:r>
      <w:r>
        <w:rPr>
          <w:rFonts w:ascii="Times New Roman" w:hAnsi="Times New Roman" w:cs="Times New Roman"/>
          <w:sz w:val="24"/>
          <w:szCs w:val="24"/>
        </w:rPr>
        <w:t>-1 (</w:t>
      </w:r>
      <w:r w:rsidR="00084B63">
        <w:rPr>
          <w:rFonts w:ascii="Times New Roman" w:hAnsi="Times New Roman" w:cs="Times New Roman"/>
          <w:sz w:val="24"/>
          <w:szCs w:val="24"/>
        </w:rPr>
        <w:t>blue</w:t>
      </w:r>
      <w:r>
        <w:rPr>
          <w:rFonts w:ascii="Times New Roman" w:hAnsi="Times New Roman" w:cs="Times New Roman"/>
          <w:sz w:val="24"/>
          <w:szCs w:val="24"/>
        </w:rPr>
        <w:t xml:space="preserve">) and </w:t>
      </w:r>
      <w:r w:rsidR="000D0DF2">
        <w:rPr>
          <w:rFonts w:ascii="Times New Roman" w:hAnsi="Times New Roman" w:cs="Times New Roman"/>
          <w:sz w:val="24"/>
          <w:szCs w:val="24"/>
        </w:rPr>
        <w:t>method</w:t>
      </w:r>
      <w:r>
        <w:rPr>
          <w:rFonts w:ascii="Times New Roman" w:hAnsi="Times New Roman" w:cs="Times New Roman"/>
          <w:sz w:val="24"/>
          <w:szCs w:val="24"/>
        </w:rPr>
        <w:t>-2 (</w:t>
      </w:r>
      <w:r w:rsidR="00084B63">
        <w:rPr>
          <w:rFonts w:ascii="Times New Roman" w:hAnsi="Times New Roman" w:cs="Times New Roman"/>
          <w:sz w:val="24"/>
          <w:szCs w:val="24"/>
        </w:rPr>
        <w:t>red</w:t>
      </w:r>
      <w:r>
        <w:rPr>
          <w:rFonts w:ascii="Times New Roman" w:hAnsi="Times New Roman" w:cs="Times New Roman"/>
          <w:sz w:val="24"/>
          <w:szCs w:val="24"/>
        </w:rPr>
        <w:t>)</w:t>
      </w:r>
    </w:p>
    <w:p w:rsidR="00146463" w:rsidRDefault="00146463">
      <w:pPr>
        <w:rPr>
          <w:rFonts w:ascii="Times New Roman" w:hAnsi="Times New Roman" w:cs="Times New Roman"/>
          <w:sz w:val="24"/>
          <w:szCs w:val="24"/>
        </w:rPr>
      </w:pPr>
      <w:r>
        <w:rPr>
          <w:rFonts w:ascii="Times New Roman" w:hAnsi="Times New Roman" w:cs="Times New Roman"/>
          <w:sz w:val="24"/>
          <w:szCs w:val="24"/>
        </w:rPr>
        <w:br w:type="page"/>
      </w:r>
    </w:p>
    <w:p w:rsidR="009659C6" w:rsidRDefault="00C912B1" w:rsidP="00D64773">
      <w:pPr>
        <w:pStyle w:val="NoSpacing"/>
        <w:rPr>
          <w:rFonts w:ascii="Times New Roman" w:hAnsi="Times New Roman" w:cs="Times New Roman"/>
          <w:sz w:val="24"/>
          <w:szCs w:val="24"/>
        </w:rPr>
      </w:pPr>
      <w:r>
        <w:rPr>
          <w:noProof/>
          <w:lang w:bidi="ne-NP"/>
        </w:rPr>
        <w:lastRenderedPageBreak/>
        <w:drawing>
          <wp:inline distT="0" distB="0" distL="0" distR="0">
            <wp:extent cx="4572000" cy="16668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659C6">
        <w:rPr>
          <w:noProof/>
          <w:lang w:bidi="ne-NP"/>
        </w:rPr>
        <w:drawing>
          <wp:inline distT="0" distB="0" distL="0" distR="0">
            <wp:extent cx="4572000" cy="180975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4773" w:rsidRPr="00D64773" w:rsidRDefault="00D64773" w:rsidP="00D64773">
      <w:pPr>
        <w:pStyle w:val="NoSpacing"/>
        <w:rPr>
          <w:rFonts w:ascii="Times New Roman" w:hAnsi="Times New Roman" w:cs="Times New Roman"/>
          <w:sz w:val="24"/>
          <w:szCs w:val="24"/>
        </w:rPr>
      </w:pPr>
      <w:r w:rsidRPr="0087629A">
        <w:rPr>
          <w:rFonts w:ascii="Times New Roman" w:hAnsi="Times New Roman" w:cs="Times New Roman"/>
          <w:b/>
          <w:bCs/>
          <w:sz w:val="24"/>
          <w:szCs w:val="24"/>
        </w:rPr>
        <w:t>Figure 3:</w:t>
      </w:r>
      <w:r>
        <w:rPr>
          <w:rFonts w:ascii="Times New Roman" w:hAnsi="Times New Roman" w:cs="Times New Roman"/>
          <w:sz w:val="24"/>
          <w:szCs w:val="24"/>
        </w:rPr>
        <w:t xml:space="preserve"> Lower and upper limits of TSH (mIU/L) in study participants of different ethnic-groups by method-1 (</w:t>
      </w:r>
      <w:r w:rsidR="00C912B1">
        <w:rPr>
          <w:rFonts w:ascii="Times New Roman" w:hAnsi="Times New Roman" w:cs="Times New Roman"/>
          <w:sz w:val="24"/>
          <w:szCs w:val="24"/>
        </w:rPr>
        <w:t>blue</w:t>
      </w:r>
      <w:r>
        <w:rPr>
          <w:rFonts w:ascii="Times New Roman" w:hAnsi="Times New Roman" w:cs="Times New Roman"/>
          <w:sz w:val="24"/>
          <w:szCs w:val="24"/>
        </w:rPr>
        <w:t>) and method-2 (</w:t>
      </w:r>
      <w:r w:rsidR="00C912B1">
        <w:rPr>
          <w:rFonts w:ascii="Times New Roman" w:hAnsi="Times New Roman" w:cs="Times New Roman"/>
          <w:sz w:val="24"/>
          <w:szCs w:val="24"/>
        </w:rPr>
        <w:t>red</w:t>
      </w:r>
      <w:r>
        <w:rPr>
          <w:rFonts w:ascii="Times New Roman" w:hAnsi="Times New Roman" w:cs="Times New Roman"/>
          <w:sz w:val="24"/>
          <w:szCs w:val="24"/>
        </w:rPr>
        <w:t>)</w:t>
      </w:r>
    </w:p>
    <w:sectPr w:rsidR="00D64773" w:rsidRPr="00D64773" w:rsidSect="002B64E5">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805"/>
    <w:multiLevelType w:val="hybridMultilevel"/>
    <w:tmpl w:val="2BE09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D13EF"/>
    <w:multiLevelType w:val="hybridMultilevel"/>
    <w:tmpl w:val="2BE09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B01F9"/>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1532BD"/>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2D5064"/>
    <w:multiLevelType w:val="hybridMultilevel"/>
    <w:tmpl w:val="F9A0253A"/>
    <w:lvl w:ilvl="0" w:tplc="97FAED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6D7CA6"/>
    <w:multiLevelType w:val="hybridMultilevel"/>
    <w:tmpl w:val="9B9C5A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B427DD"/>
    <w:multiLevelType w:val="hybridMultilevel"/>
    <w:tmpl w:val="175C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D23AB"/>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103EAF"/>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62064E"/>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47318D"/>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E80B3E"/>
    <w:multiLevelType w:val="hybridMultilevel"/>
    <w:tmpl w:val="A01AAAB6"/>
    <w:lvl w:ilvl="0" w:tplc="A2BC9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7F0094"/>
    <w:multiLevelType w:val="hybridMultilevel"/>
    <w:tmpl w:val="A818415C"/>
    <w:lvl w:ilvl="0" w:tplc="BDD05E5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474BEE"/>
    <w:multiLevelType w:val="hybridMultilevel"/>
    <w:tmpl w:val="7FFC5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1"/>
  </w:num>
  <w:num w:numId="4">
    <w:abstractNumId w:val="0"/>
  </w:num>
  <w:num w:numId="5">
    <w:abstractNumId w:val="11"/>
  </w:num>
  <w:num w:numId="6">
    <w:abstractNumId w:val="6"/>
  </w:num>
  <w:num w:numId="7">
    <w:abstractNumId w:val="2"/>
  </w:num>
  <w:num w:numId="8">
    <w:abstractNumId w:val="12"/>
  </w:num>
  <w:num w:numId="9">
    <w:abstractNumId w:val="7"/>
  </w:num>
  <w:num w:numId="10">
    <w:abstractNumId w:val="10"/>
  </w:num>
  <w:num w:numId="11">
    <w:abstractNumId w:val="8"/>
  </w:num>
  <w:num w:numId="12">
    <w:abstractNumId w:val="3"/>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3C73E5"/>
    <w:rsid w:val="00000789"/>
    <w:rsid w:val="00000E45"/>
    <w:rsid w:val="0000109E"/>
    <w:rsid w:val="0000122D"/>
    <w:rsid w:val="000019E3"/>
    <w:rsid w:val="00001FAF"/>
    <w:rsid w:val="00003597"/>
    <w:rsid w:val="00004F6C"/>
    <w:rsid w:val="00010928"/>
    <w:rsid w:val="00010A00"/>
    <w:rsid w:val="0001266E"/>
    <w:rsid w:val="00013052"/>
    <w:rsid w:val="00013A4D"/>
    <w:rsid w:val="00015A2F"/>
    <w:rsid w:val="000171D4"/>
    <w:rsid w:val="000200CC"/>
    <w:rsid w:val="000224D1"/>
    <w:rsid w:val="00022EE5"/>
    <w:rsid w:val="00024F3D"/>
    <w:rsid w:val="00026347"/>
    <w:rsid w:val="00026CE0"/>
    <w:rsid w:val="000302B3"/>
    <w:rsid w:val="00035E21"/>
    <w:rsid w:val="0003642A"/>
    <w:rsid w:val="00036D59"/>
    <w:rsid w:val="00037408"/>
    <w:rsid w:val="0003749B"/>
    <w:rsid w:val="00042908"/>
    <w:rsid w:val="00042CA4"/>
    <w:rsid w:val="000461DD"/>
    <w:rsid w:val="000511B9"/>
    <w:rsid w:val="000514A4"/>
    <w:rsid w:val="00051F27"/>
    <w:rsid w:val="000539BB"/>
    <w:rsid w:val="00055549"/>
    <w:rsid w:val="0005560B"/>
    <w:rsid w:val="000574DB"/>
    <w:rsid w:val="00060EB0"/>
    <w:rsid w:val="000641A1"/>
    <w:rsid w:val="00070D3C"/>
    <w:rsid w:val="00073579"/>
    <w:rsid w:val="00074635"/>
    <w:rsid w:val="00075C8E"/>
    <w:rsid w:val="0008180F"/>
    <w:rsid w:val="00081ABB"/>
    <w:rsid w:val="00081B60"/>
    <w:rsid w:val="000829DC"/>
    <w:rsid w:val="00084B63"/>
    <w:rsid w:val="00085D2A"/>
    <w:rsid w:val="00085DB0"/>
    <w:rsid w:val="000860B1"/>
    <w:rsid w:val="0008699E"/>
    <w:rsid w:val="00086F9E"/>
    <w:rsid w:val="000875EC"/>
    <w:rsid w:val="00087D1E"/>
    <w:rsid w:val="00090A9D"/>
    <w:rsid w:val="00097FD8"/>
    <w:rsid w:val="000A2EE1"/>
    <w:rsid w:val="000A5F50"/>
    <w:rsid w:val="000A5FBF"/>
    <w:rsid w:val="000B3A3C"/>
    <w:rsid w:val="000B4BE0"/>
    <w:rsid w:val="000B500E"/>
    <w:rsid w:val="000B70D3"/>
    <w:rsid w:val="000C2308"/>
    <w:rsid w:val="000C2A43"/>
    <w:rsid w:val="000C69E6"/>
    <w:rsid w:val="000D04A9"/>
    <w:rsid w:val="000D0739"/>
    <w:rsid w:val="000D0DF2"/>
    <w:rsid w:val="000D107A"/>
    <w:rsid w:val="000D2FC1"/>
    <w:rsid w:val="000D3E76"/>
    <w:rsid w:val="000D58C9"/>
    <w:rsid w:val="000E008B"/>
    <w:rsid w:val="000E02BD"/>
    <w:rsid w:val="000E0590"/>
    <w:rsid w:val="000E098F"/>
    <w:rsid w:val="000E148B"/>
    <w:rsid w:val="000E4F9B"/>
    <w:rsid w:val="000F1280"/>
    <w:rsid w:val="000F3A55"/>
    <w:rsid w:val="000F48C1"/>
    <w:rsid w:val="000F573F"/>
    <w:rsid w:val="000F6B3A"/>
    <w:rsid w:val="000F7916"/>
    <w:rsid w:val="00101458"/>
    <w:rsid w:val="0010348F"/>
    <w:rsid w:val="001154DD"/>
    <w:rsid w:val="0011583D"/>
    <w:rsid w:val="00116055"/>
    <w:rsid w:val="001162B0"/>
    <w:rsid w:val="00117839"/>
    <w:rsid w:val="001219FE"/>
    <w:rsid w:val="001225B3"/>
    <w:rsid w:val="00127F7B"/>
    <w:rsid w:val="00132485"/>
    <w:rsid w:val="001324F1"/>
    <w:rsid w:val="0013493B"/>
    <w:rsid w:val="0013535E"/>
    <w:rsid w:val="00137625"/>
    <w:rsid w:val="0014035C"/>
    <w:rsid w:val="00142103"/>
    <w:rsid w:val="00143A0D"/>
    <w:rsid w:val="001446A4"/>
    <w:rsid w:val="00146463"/>
    <w:rsid w:val="001466DB"/>
    <w:rsid w:val="001466EC"/>
    <w:rsid w:val="00147BA8"/>
    <w:rsid w:val="001541CD"/>
    <w:rsid w:val="00154571"/>
    <w:rsid w:val="001562DA"/>
    <w:rsid w:val="00157DB6"/>
    <w:rsid w:val="001604FD"/>
    <w:rsid w:val="00160C88"/>
    <w:rsid w:val="00164A33"/>
    <w:rsid w:val="001659A7"/>
    <w:rsid w:val="0016671C"/>
    <w:rsid w:val="00167959"/>
    <w:rsid w:val="001728B0"/>
    <w:rsid w:val="0018135A"/>
    <w:rsid w:val="001814A0"/>
    <w:rsid w:val="001816EA"/>
    <w:rsid w:val="00191CE2"/>
    <w:rsid w:val="001948A1"/>
    <w:rsid w:val="001A18FA"/>
    <w:rsid w:val="001A2C47"/>
    <w:rsid w:val="001A58B4"/>
    <w:rsid w:val="001A642E"/>
    <w:rsid w:val="001A66D6"/>
    <w:rsid w:val="001A6DED"/>
    <w:rsid w:val="001B1787"/>
    <w:rsid w:val="001B23D1"/>
    <w:rsid w:val="001B3BD2"/>
    <w:rsid w:val="001B4457"/>
    <w:rsid w:val="001C0473"/>
    <w:rsid w:val="001C2BE2"/>
    <w:rsid w:val="001C33DE"/>
    <w:rsid w:val="001C48E4"/>
    <w:rsid w:val="001C54FA"/>
    <w:rsid w:val="001D0620"/>
    <w:rsid w:val="001D1388"/>
    <w:rsid w:val="001D2C39"/>
    <w:rsid w:val="001D3D6F"/>
    <w:rsid w:val="001D3E45"/>
    <w:rsid w:val="001D635F"/>
    <w:rsid w:val="001D63DE"/>
    <w:rsid w:val="001D6427"/>
    <w:rsid w:val="001D6FFA"/>
    <w:rsid w:val="001E06B8"/>
    <w:rsid w:val="001E23B0"/>
    <w:rsid w:val="001E420C"/>
    <w:rsid w:val="001E4F8B"/>
    <w:rsid w:val="001E7226"/>
    <w:rsid w:val="001F230F"/>
    <w:rsid w:val="001F4585"/>
    <w:rsid w:val="001F606D"/>
    <w:rsid w:val="00200B3F"/>
    <w:rsid w:val="00206C26"/>
    <w:rsid w:val="00211B9B"/>
    <w:rsid w:val="00213589"/>
    <w:rsid w:val="00214974"/>
    <w:rsid w:val="002174E0"/>
    <w:rsid w:val="00221D10"/>
    <w:rsid w:val="002220FC"/>
    <w:rsid w:val="0022263A"/>
    <w:rsid w:val="00222953"/>
    <w:rsid w:val="00222A94"/>
    <w:rsid w:val="002279B6"/>
    <w:rsid w:val="0023046F"/>
    <w:rsid w:val="00231ECD"/>
    <w:rsid w:val="00233C17"/>
    <w:rsid w:val="00234359"/>
    <w:rsid w:val="00236414"/>
    <w:rsid w:val="0023766C"/>
    <w:rsid w:val="00244304"/>
    <w:rsid w:val="00251FDA"/>
    <w:rsid w:val="00252960"/>
    <w:rsid w:val="002549A3"/>
    <w:rsid w:val="002551F5"/>
    <w:rsid w:val="00255D58"/>
    <w:rsid w:val="0025701B"/>
    <w:rsid w:val="002570D0"/>
    <w:rsid w:val="002607EA"/>
    <w:rsid w:val="00261842"/>
    <w:rsid w:val="002677A1"/>
    <w:rsid w:val="00273D08"/>
    <w:rsid w:val="00283428"/>
    <w:rsid w:val="00284AA6"/>
    <w:rsid w:val="00292EB1"/>
    <w:rsid w:val="002955A9"/>
    <w:rsid w:val="002A1224"/>
    <w:rsid w:val="002A14E9"/>
    <w:rsid w:val="002A5553"/>
    <w:rsid w:val="002A6A60"/>
    <w:rsid w:val="002A7F26"/>
    <w:rsid w:val="002B04A2"/>
    <w:rsid w:val="002B6145"/>
    <w:rsid w:val="002B64E5"/>
    <w:rsid w:val="002B6DB7"/>
    <w:rsid w:val="002C2489"/>
    <w:rsid w:val="002C3320"/>
    <w:rsid w:val="002C3CFD"/>
    <w:rsid w:val="002C5241"/>
    <w:rsid w:val="002C7E58"/>
    <w:rsid w:val="002D092D"/>
    <w:rsid w:val="002D3A7B"/>
    <w:rsid w:val="002E29F5"/>
    <w:rsid w:val="002E476D"/>
    <w:rsid w:val="002E60F8"/>
    <w:rsid w:val="002E6AE7"/>
    <w:rsid w:val="002F1784"/>
    <w:rsid w:val="002F1C5B"/>
    <w:rsid w:val="002F2BEF"/>
    <w:rsid w:val="002F4944"/>
    <w:rsid w:val="002F5564"/>
    <w:rsid w:val="002F67FC"/>
    <w:rsid w:val="002F799A"/>
    <w:rsid w:val="002F7A4A"/>
    <w:rsid w:val="002F7B10"/>
    <w:rsid w:val="0030006D"/>
    <w:rsid w:val="003003C7"/>
    <w:rsid w:val="00300A7C"/>
    <w:rsid w:val="00304913"/>
    <w:rsid w:val="0030502E"/>
    <w:rsid w:val="0030638F"/>
    <w:rsid w:val="0030690A"/>
    <w:rsid w:val="00306D94"/>
    <w:rsid w:val="003121B4"/>
    <w:rsid w:val="00312B25"/>
    <w:rsid w:val="00316F47"/>
    <w:rsid w:val="003170A5"/>
    <w:rsid w:val="003170F4"/>
    <w:rsid w:val="00317902"/>
    <w:rsid w:val="00317A7C"/>
    <w:rsid w:val="003205A9"/>
    <w:rsid w:val="00323E27"/>
    <w:rsid w:val="00325993"/>
    <w:rsid w:val="00327C87"/>
    <w:rsid w:val="00327CBB"/>
    <w:rsid w:val="00331A87"/>
    <w:rsid w:val="00332F0C"/>
    <w:rsid w:val="0033308F"/>
    <w:rsid w:val="00333518"/>
    <w:rsid w:val="00336290"/>
    <w:rsid w:val="00336F16"/>
    <w:rsid w:val="003420BA"/>
    <w:rsid w:val="00345BD6"/>
    <w:rsid w:val="003477C4"/>
    <w:rsid w:val="00350D98"/>
    <w:rsid w:val="00352E16"/>
    <w:rsid w:val="00355093"/>
    <w:rsid w:val="00357FAF"/>
    <w:rsid w:val="00361CED"/>
    <w:rsid w:val="003625AC"/>
    <w:rsid w:val="00362EBE"/>
    <w:rsid w:val="00363464"/>
    <w:rsid w:val="00364708"/>
    <w:rsid w:val="003710C2"/>
    <w:rsid w:val="0037188B"/>
    <w:rsid w:val="00372797"/>
    <w:rsid w:val="0037378E"/>
    <w:rsid w:val="00373D2B"/>
    <w:rsid w:val="003763FA"/>
    <w:rsid w:val="00376C4E"/>
    <w:rsid w:val="003814F9"/>
    <w:rsid w:val="0038508D"/>
    <w:rsid w:val="003856AB"/>
    <w:rsid w:val="0038690B"/>
    <w:rsid w:val="00390E74"/>
    <w:rsid w:val="003918A0"/>
    <w:rsid w:val="00393183"/>
    <w:rsid w:val="00394411"/>
    <w:rsid w:val="00395592"/>
    <w:rsid w:val="00395774"/>
    <w:rsid w:val="003A07B5"/>
    <w:rsid w:val="003A2940"/>
    <w:rsid w:val="003A30CF"/>
    <w:rsid w:val="003B1068"/>
    <w:rsid w:val="003B23AE"/>
    <w:rsid w:val="003B44AC"/>
    <w:rsid w:val="003B79E5"/>
    <w:rsid w:val="003B7B0D"/>
    <w:rsid w:val="003B7E55"/>
    <w:rsid w:val="003C1457"/>
    <w:rsid w:val="003C53D5"/>
    <w:rsid w:val="003C625A"/>
    <w:rsid w:val="003C73E5"/>
    <w:rsid w:val="003D27D0"/>
    <w:rsid w:val="003D6F93"/>
    <w:rsid w:val="003D76E4"/>
    <w:rsid w:val="003E3352"/>
    <w:rsid w:val="003E40A9"/>
    <w:rsid w:val="003E7247"/>
    <w:rsid w:val="003F05D3"/>
    <w:rsid w:val="003F1344"/>
    <w:rsid w:val="003F3690"/>
    <w:rsid w:val="003F36F9"/>
    <w:rsid w:val="003F46D9"/>
    <w:rsid w:val="003F56CD"/>
    <w:rsid w:val="003F7F2B"/>
    <w:rsid w:val="00400275"/>
    <w:rsid w:val="00400E8A"/>
    <w:rsid w:val="00404CD0"/>
    <w:rsid w:val="00405502"/>
    <w:rsid w:val="00410E71"/>
    <w:rsid w:val="00413240"/>
    <w:rsid w:val="00413A0D"/>
    <w:rsid w:val="004142F1"/>
    <w:rsid w:val="00415206"/>
    <w:rsid w:val="00415F6D"/>
    <w:rsid w:val="004176E2"/>
    <w:rsid w:val="00417D13"/>
    <w:rsid w:val="0042172D"/>
    <w:rsid w:val="00421F50"/>
    <w:rsid w:val="00424E40"/>
    <w:rsid w:val="00426411"/>
    <w:rsid w:val="004331E0"/>
    <w:rsid w:val="0043509F"/>
    <w:rsid w:val="00446E40"/>
    <w:rsid w:val="00452EF6"/>
    <w:rsid w:val="004559A0"/>
    <w:rsid w:val="00457C62"/>
    <w:rsid w:val="00460738"/>
    <w:rsid w:val="00462F1E"/>
    <w:rsid w:val="0046321A"/>
    <w:rsid w:val="00463B1B"/>
    <w:rsid w:val="00467561"/>
    <w:rsid w:val="00467FF2"/>
    <w:rsid w:val="004701D2"/>
    <w:rsid w:val="0047096A"/>
    <w:rsid w:val="00470A01"/>
    <w:rsid w:val="00470D10"/>
    <w:rsid w:val="00471B40"/>
    <w:rsid w:val="004803C4"/>
    <w:rsid w:val="004804CF"/>
    <w:rsid w:val="00481B17"/>
    <w:rsid w:val="0048283F"/>
    <w:rsid w:val="00483E9C"/>
    <w:rsid w:val="004841D9"/>
    <w:rsid w:val="00485EE4"/>
    <w:rsid w:val="00490863"/>
    <w:rsid w:val="0049091C"/>
    <w:rsid w:val="00494373"/>
    <w:rsid w:val="00497AAF"/>
    <w:rsid w:val="004A0008"/>
    <w:rsid w:val="004A3575"/>
    <w:rsid w:val="004A63B7"/>
    <w:rsid w:val="004B0F01"/>
    <w:rsid w:val="004B2DF6"/>
    <w:rsid w:val="004B39FA"/>
    <w:rsid w:val="004B6745"/>
    <w:rsid w:val="004B7D6E"/>
    <w:rsid w:val="004C3C07"/>
    <w:rsid w:val="004C409B"/>
    <w:rsid w:val="004C4A44"/>
    <w:rsid w:val="004C76E1"/>
    <w:rsid w:val="004D0A95"/>
    <w:rsid w:val="004D18D7"/>
    <w:rsid w:val="004D287D"/>
    <w:rsid w:val="004D495B"/>
    <w:rsid w:val="004D67F0"/>
    <w:rsid w:val="004D6AED"/>
    <w:rsid w:val="004E5859"/>
    <w:rsid w:val="004E6A7C"/>
    <w:rsid w:val="004F05D5"/>
    <w:rsid w:val="004F1ED8"/>
    <w:rsid w:val="004F4B10"/>
    <w:rsid w:val="005012D4"/>
    <w:rsid w:val="00503D8B"/>
    <w:rsid w:val="00504E82"/>
    <w:rsid w:val="00505C14"/>
    <w:rsid w:val="005072DC"/>
    <w:rsid w:val="00510C1A"/>
    <w:rsid w:val="005119F7"/>
    <w:rsid w:val="00511F24"/>
    <w:rsid w:val="00513074"/>
    <w:rsid w:val="005133FA"/>
    <w:rsid w:val="005140A4"/>
    <w:rsid w:val="0051637F"/>
    <w:rsid w:val="00520AF8"/>
    <w:rsid w:val="00521EDE"/>
    <w:rsid w:val="00523370"/>
    <w:rsid w:val="005234A1"/>
    <w:rsid w:val="005263CE"/>
    <w:rsid w:val="00527122"/>
    <w:rsid w:val="0052738E"/>
    <w:rsid w:val="00533C93"/>
    <w:rsid w:val="0053763F"/>
    <w:rsid w:val="005431A5"/>
    <w:rsid w:val="00544144"/>
    <w:rsid w:val="00544874"/>
    <w:rsid w:val="005470E4"/>
    <w:rsid w:val="0054739E"/>
    <w:rsid w:val="00547D99"/>
    <w:rsid w:val="00550583"/>
    <w:rsid w:val="00550C27"/>
    <w:rsid w:val="0055656F"/>
    <w:rsid w:val="00561449"/>
    <w:rsid w:val="0056211B"/>
    <w:rsid w:val="00562920"/>
    <w:rsid w:val="00564963"/>
    <w:rsid w:val="0056610E"/>
    <w:rsid w:val="00566200"/>
    <w:rsid w:val="0056766F"/>
    <w:rsid w:val="0057163E"/>
    <w:rsid w:val="005722BF"/>
    <w:rsid w:val="00582183"/>
    <w:rsid w:val="00584FEE"/>
    <w:rsid w:val="00586B2E"/>
    <w:rsid w:val="0059135B"/>
    <w:rsid w:val="00592D48"/>
    <w:rsid w:val="00592F6F"/>
    <w:rsid w:val="00594214"/>
    <w:rsid w:val="00596CFD"/>
    <w:rsid w:val="005A0C68"/>
    <w:rsid w:val="005A1BB6"/>
    <w:rsid w:val="005A208E"/>
    <w:rsid w:val="005A27F0"/>
    <w:rsid w:val="005A4B68"/>
    <w:rsid w:val="005A4E4B"/>
    <w:rsid w:val="005A5AC2"/>
    <w:rsid w:val="005B16CA"/>
    <w:rsid w:val="005B33EF"/>
    <w:rsid w:val="005B38BD"/>
    <w:rsid w:val="005B72DE"/>
    <w:rsid w:val="005B7324"/>
    <w:rsid w:val="005C19AF"/>
    <w:rsid w:val="005C2136"/>
    <w:rsid w:val="005C687A"/>
    <w:rsid w:val="005C6D35"/>
    <w:rsid w:val="005D4025"/>
    <w:rsid w:val="005D587E"/>
    <w:rsid w:val="005D6755"/>
    <w:rsid w:val="005D73EF"/>
    <w:rsid w:val="005E1C9E"/>
    <w:rsid w:val="005E21BF"/>
    <w:rsid w:val="005F27A2"/>
    <w:rsid w:val="005F5D38"/>
    <w:rsid w:val="005F671A"/>
    <w:rsid w:val="00600782"/>
    <w:rsid w:val="00600E18"/>
    <w:rsid w:val="006029CA"/>
    <w:rsid w:val="00606136"/>
    <w:rsid w:val="0060656F"/>
    <w:rsid w:val="0061211B"/>
    <w:rsid w:val="006128FA"/>
    <w:rsid w:val="00613B9C"/>
    <w:rsid w:val="00613E60"/>
    <w:rsid w:val="00616465"/>
    <w:rsid w:val="00616B01"/>
    <w:rsid w:val="0062194B"/>
    <w:rsid w:val="00621EFB"/>
    <w:rsid w:val="0062608F"/>
    <w:rsid w:val="006261F6"/>
    <w:rsid w:val="00626569"/>
    <w:rsid w:val="0062688F"/>
    <w:rsid w:val="00626A78"/>
    <w:rsid w:val="006273B3"/>
    <w:rsid w:val="006300DC"/>
    <w:rsid w:val="00632356"/>
    <w:rsid w:val="00633983"/>
    <w:rsid w:val="00641153"/>
    <w:rsid w:val="00641809"/>
    <w:rsid w:val="00644A45"/>
    <w:rsid w:val="00645559"/>
    <w:rsid w:val="00645A12"/>
    <w:rsid w:val="00645C90"/>
    <w:rsid w:val="006471EA"/>
    <w:rsid w:val="00651A13"/>
    <w:rsid w:val="00653F38"/>
    <w:rsid w:val="006566B5"/>
    <w:rsid w:val="006575DE"/>
    <w:rsid w:val="00660A17"/>
    <w:rsid w:val="00660F16"/>
    <w:rsid w:val="00662BDF"/>
    <w:rsid w:val="00665CA7"/>
    <w:rsid w:val="00666D80"/>
    <w:rsid w:val="00670A77"/>
    <w:rsid w:val="0067604C"/>
    <w:rsid w:val="006804A4"/>
    <w:rsid w:val="00684CD3"/>
    <w:rsid w:val="00684F19"/>
    <w:rsid w:val="00685B78"/>
    <w:rsid w:val="006874B4"/>
    <w:rsid w:val="006908D1"/>
    <w:rsid w:val="00693E28"/>
    <w:rsid w:val="006A247E"/>
    <w:rsid w:val="006A3248"/>
    <w:rsid w:val="006A567C"/>
    <w:rsid w:val="006A5C36"/>
    <w:rsid w:val="006A7EAA"/>
    <w:rsid w:val="006B019B"/>
    <w:rsid w:val="006B3F21"/>
    <w:rsid w:val="006B4A73"/>
    <w:rsid w:val="006B4B78"/>
    <w:rsid w:val="006B6BD2"/>
    <w:rsid w:val="006C144B"/>
    <w:rsid w:val="006C1485"/>
    <w:rsid w:val="006C18F0"/>
    <w:rsid w:val="006C5529"/>
    <w:rsid w:val="006C6F95"/>
    <w:rsid w:val="006C79C5"/>
    <w:rsid w:val="006D0C96"/>
    <w:rsid w:val="006D1D11"/>
    <w:rsid w:val="006D3677"/>
    <w:rsid w:val="006D3A3F"/>
    <w:rsid w:val="006D484D"/>
    <w:rsid w:val="006D4A29"/>
    <w:rsid w:val="006D6054"/>
    <w:rsid w:val="006D6D11"/>
    <w:rsid w:val="006E10C1"/>
    <w:rsid w:val="006E40E6"/>
    <w:rsid w:val="006E436F"/>
    <w:rsid w:val="006E7C98"/>
    <w:rsid w:val="006F18FF"/>
    <w:rsid w:val="006F20CB"/>
    <w:rsid w:val="006F510A"/>
    <w:rsid w:val="006F53B2"/>
    <w:rsid w:val="00700DA9"/>
    <w:rsid w:val="00703166"/>
    <w:rsid w:val="007035C3"/>
    <w:rsid w:val="00703937"/>
    <w:rsid w:val="00706D0D"/>
    <w:rsid w:val="007075F1"/>
    <w:rsid w:val="00707957"/>
    <w:rsid w:val="0071351E"/>
    <w:rsid w:val="00715CD6"/>
    <w:rsid w:val="00721F32"/>
    <w:rsid w:val="0072320B"/>
    <w:rsid w:val="00726767"/>
    <w:rsid w:val="00735164"/>
    <w:rsid w:val="00735425"/>
    <w:rsid w:val="00737049"/>
    <w:rsid w:val="00740C7A"/>
    <w:rsid w:val="00745C74"/>
    <w:rsid w:val="00745C81"/>
    <w:rsid w:val="00747E51"/>
    <w:rsid w:val="0075067C"/>
    <w:rsid w:val="00752A9F"/>
    <w:rsid w:val="007547B9"/>
    <w:rsid w:val="007565B6"/>
    <w:rsid w:val="007643CA"/>
    <w:rsid w:val="007663A8"/>
    <w:rsid w:val="0076666F"/>
    <w:rsid w:val="007718FF"/>
    <w:rsid w:val="007730A7"/>
    <w:rsid w:val="00773A56"/>
    <w:rsid w:val="00773F66"/>
    <w:rsid w:val="007747FA"/>
    <w:rsid w:val="007764CA"/>
    <w:rsid w:val="007807BB"/>
    <w:rsid w:val="00781199"/>
    <w:rsid w:val="00782905"/>
    <w:rsid w:val="00783C5B"/>
    <w:rsid w:val="00784C76"/>
    <w:rsid w:val="0078649E"/>
    <w:rsid w:val="00786A39"/>
    <w:rsid w:val="00790CC3"/>
    <w:rsid w:val="00792CC7"/>
    <w:rsid w:val="00792D46"/>
    <w:rsid w:val="007A1613"/>
    <w:rsid w:val="007A18DD"/>
    <w:rsid w:val="007B071A"/>
    <w:rsid w:val="007B490D"/>
    <w:rsid w:val="007B5051"/>
    <w:rsid w:val="007B6AC1"/>
    <w:rsid w:val="007B7F87"/>
    <w:rsid w:val="007C004A"/>
    <w:rsid w:val="007C2E78"/>
    <w:rsid w:val="007D20B1"/>
    <w:rsid w:val="007D20D6"/>
    <w:rsid w:val="007D2F96"/>
    <w:rsid w:val="007D496D"/>
    <w:rsid w:val="007E1360"/>
    <w:rsid w:val="007E1484"/>
    <w:rsid w:val="007E4F6D"/>
    <w:rsid w:val="007E6CDD"/>
    <w:rsid w:val="007E6E19"/>
    <w:rsid w:val="007E7339"/>
    <w:rsid w:val="007F3D40"/>
    <w:rsid w:val="007F5A8D"/>
    <w:rsid w:val="007F6EBD"/>
    <w:rsid w:val="007F7EA7"/>
    <w:rsid w:val="00800593"/>
    <w:rsid w:val="00803326"/>
    <w:rsid w:val="00803E33"/>
    <w:rsid w:val="00810293"/>
    <w:rsid w:val="008146AC"/>
    <w:rsid w:val="00814770"/>
    <w:rsid w:val="00817192"/>
    <w:rsid w:val="00823D1A"/>
    <w:rsid w:val="0082414A"/>
    <w:rsid w:val="00824EF5"/>
    <w:rsid w:val="008266D8"/>
    <w:rsid w:val="00831468"/>
    <w:rsid w:val="00835774"/>
    <w:rsid w:val="00844784"/>
    <w:rsid w:val="00845C90"/>
    <w:rsid w:val="00845D74"/>
    <w:rsid w:val="00846357"/>
    <w:rsid w:val="00846648"/>
    <w:rsid w:val="00850FE8"/>
    <w:rsid w:val="00854DD1"/>
    <w:rsid w:val="00861CF6"/>
    <w:rsid w:val="00862D75"/>
    <w:rsid w:val="0086427C"/>
    <w:rsid w:val="00873A4B"/>
    <w:rsid w:val="008753D9"/>
    <w:rsid w:val="0087629A"/>
    <w:rsid w:val="00880838"/>
    <w:rsid w:val="00883C5E"/>
    <w:rsid w:val="008847D2"/>
    <w:rsid w:val="00885976"/>
    <w:rsid w:val="00890C87"/>
    <w:rsid w:val="008923E1"/>
    <w:rsid w:val="00893AC0"/>
    <w:rsid w:val="00893DCF"/>
    <w:rsid w:val="00893F25"/>
    <w:rsid w:val="008A531E"/>
    <w:rsid w:val="008A5DEB"/>
    <w:rsid w:val="008A79FA"/>
    <w:rsid w:val="008B1DC9"/>
    <w:rsid w:val="008B315A"/>
    <w:rsid w:val="008B3C67"/>
    <w:rsid w:val="008B5163"/>
    <w:rsid w:val="008C1D14"/>
    <w:rsid w:val="008C1DA3"/>
    <w:rsid w:val="008C5583"/>
    <w:rsid w:val="008C5E4A"/>
    <w:rsid w:val="008D3680"/>
    <w:rsid w:val="008D6A8C"/>
    <w:rsid w:val="008E39C8"/>
    <w:rsid w:val="008E3F19"/>
    <w:rsid w:val="008F2567"/>
    <w:rsid w:val="008F2CFE"/>
    <w:rsid w:val="008F2F5F"/>
    <w:rsid w:val="0090384B"/>
    <w:rsid w:val="00920C39"/>
    <w:rsid w:val="009210C8"/>
    <w:rsid w:val="00922264"/>
    <w:rsid w:val="0092228B"/>
    <w:rsid w:val="009256D1"/>
    <w:rsid w:val="009265E7"/>
    <w:rsid w:val="009272A6"/>
    <w:rsid w:val="00927B0F"/>
    <w:rsid w:val="009314A8"/>
    <w:rsid w:val="00932D29"/>
    <w:rsid w:val="00934362"/>
    <w:rsid w:val="0093711B"/>
    <w:rsid w:val="00944A75"/>
    <w:rsid w:val="00947650"/>
    <w:rsid w:val="009541E7"/>
    <w:rsid w:val="009562E1"/>
    <w:rsid w:val="0095781B"/>
    <w:rsid w:val="009600A2"/>
    <w:rsid w:val="00963633"/>
    <w:rsid w:val="009659C6"/>
    <w:rsid w:val="00972BAE"/>
    <w:rsid w:val="00974C4E"/>
    <w:rsid w:val="009770F9"/>
    <w:rsid w:val="009808FE"/>
    <w:rsid w:val="00982A97"/>
    <w:rsid w:val="00983946"/>
    <w:rsid w:val="009845ED"/>
    <w:rsid w:val="00985D59"/>
    <w:rsid w:val="0099151E"/>
    <w:rsid w:val="00992157"/>
    <w:rsid w:val="009921C0"/>
    <w:rsid w:val="00995E80"/>
    <w:rsid w:val="009969C5"/>
    <w:rsid w:val="009A03F4"/>
    <w:rsid w:val="009A1467"/>
    <w:rsid w:val="009A2BE8"/>
    <w:rsid w:val="009A383D"/>
    <w:rsid w:val="009A44D9"/>
    <w:rsid w:val="009A4777"/>
    <w:rsid w:val="009A6C5F"/>
    <w:rsid w:val="009A72A9"/>
    <w:rsid w:val="009A7691"/>
    <w:rsid w:val="009B234E"/>
    <w:rsid w:val="009B4FB0"/>
    <w:rsid w:val="009B6471"/>
    <w:rsid w:val="009C0180"/>
    <w:rsid w:val="009C145F"/>
    <w:rsid w:val="009C4005"/>
    <w:rsid w:val="009D00FD"/>
    <w:rsid w:val="009D1904"/>
    <w:rsid w:val="009D23F4"/>
    <w:rsid w:val="009D7730"/>
    <w:rsid w:val="009E0147"/>
    <w:rsid w:val="009E1AC1"/>
    <w:rsid w:val="009E3FA0"/>
    <w:rsid w:val="009E7D6F"/>
    <w:rsid w:val="009F0974"/>
    <w:rsid w:val="009F4287"/>
    <w:rsid w:val="009F4675"/>
    <w:rsid w:val="009F47DA"/>
    <w:rsid w:val="009F575A"/>
    <w:rsid w:val="009F5FEE"/>
    <w:rsid w:val="009F735B"/>
    <w:rsid w:val="009F7685"/>
    <w:rsid w:val="00A00653"/>
    <w:rsid w:val="00A0093C"/>
    <w:rsid w:val="00A01259"/>
    <w:rsid w:val="00A0330D"/>
    <w:rsid w:val="00A04072"/>
    <w:rsid w:val="00A04594"/>
    <w:rsid w:val="00A04978"/>
    <w:rsid w:val="00A0698D"/>
    <w:rsid w:val="00A10400"/>
    <w:rsid w:val="00A12C73"/>
    <w:rsid w:val="00A16EE8"/>
    <w:rsid w:val="00A231B8"/>
    <w:rsid w:val="00A23E9F"/>
    <w:rsid w:val="00A247F3"/>
    <w:rsid w:val="00A30BF6"/>
    <w:rsid w:val="00A30C9C"/>
    <w:rsid w:val="00A360B0"/>
    <w:rsid w:val="00A361D5"/>
    <w:rsid w:val="00A4169A"/>
    <w:rsid w:val="00A41CA2"/>
    <w:rsid w:val="00A43077"/>
    <w:rsid w:val="00A4347A"/>
    <w:rsid w:val="00A4582E"/>
    <w:rsid w:val="00A470A4"/>
    <w:rsid w:val="00A52FCD"/>
    <w:rsid w:val="00A56EFD"/>
    <w:rsid w:val="00A56FC7"/>
    <w:rsid w:val="00A57095"/>
    <w:rsid w:val="00A61030"/>
    <w:rsid w:val="00A625D0"/>
    <w:rsid w:val="00A631B1"/>
    <w:rsid w:val="00A64AFD"/>
    <w:rsid w:val="00A74BC3"/>
    <w:rsid w:val="00A752ED"/>
    <w:rsid w:val="00A758A2"/>
    <w:rsid w:val="00A77BA8"/>
    <w:rsid w:val="00A813CA"/>
    <w:rsid w:val="00A82780"/>
    <w:rsid w:val="00A82ACC"/>
    <w:rsid w:val="00A82F8E"/>
    <w:rsid w:val="00A90339"/>
    <w:rsid w:val="00A91A17"/>
    <w:rsid w:val="00A91EA4"/>
    <w:rsid w:val="00A928E2"/>
    <w:rsid w:val="00A937AA"/>
    <w:rsid w:val="00A96A94"/>
    <w:rsid w:val="00A97D1B"/>
    <w:rsid w:val="00AA0C6C"/>
    <w:rsid w:val="00AA2B4F"/>
    <w:rsid w:val="00AA3E09"/>
    <w:rsid w:val="00AA54CE"/>
    <w:rsid w:val="00AA5FA4"/>
    <w:rsid w:val="00AA775D"/>
    <w:rsid w:val="00AB019E"/>
    <w:rsid w:val="00AB6C52"/>
    <w:rsid w:val="00AB6E1C"/>
    <w:rsid w:val="00AC0B5E"/>
    <w:rsid w:val="00AC1443"/>
    <w:rsid w:val="00AC2898"/>
    <w:rsid w:val="00AC3441"/>
    <w:rsid w:val="00AC57C9"/>
    <w:rsid w:val="00AC6B43"/>
    <w:rsid w:val="00AD331D"/>
    <w:rsid w:val="00AE0019"/>
    <w:rsid w:val="00AE1790"/>
    <w:rsid w:val="00AE1AB4"/>
    <w:rsid w:val="00AE21D9"/>
    <w:rsid w:val="00AE264E"/>
    <w:rsid w:val="00AE3DF6"/>
    <w:rsid w:val="00AE6EB1"/>
    <w:rsid w:val="00AE70E2"/>
    <w:rsid w:val="00AE71E0"/>
    <w:rsid w:val="00AE7B03"/>
    <w:rsid w:val="00AF1CD6"/>
    <w:rsid w:val="00AF2DCF"/>
    <w:rsid w:val="00AF6985"/>
    <w:rsid w:val="00AF701F"/>
    <w:rsid w:val="00AF7E71"/>
    <w:rsid w:val="00B01494"/>
    <w:rsid w:val="00B01B72"/>
    <w:rsid w:val="00B022E0"/>
    <w:rsid w:val="00B03BEE"/>
    <w:rsid w:val="00B073B6"/>
    <w:rsid w:val="00B1058D"/>
    <w:rsid w:val="00B10DF3"/>
    <w:rsid w:val="00B13129"/>
    <w:rsid w:val="00B13263"/>
    <w:rsid w:val="00B14D9B"/>
    <w:rsid w:val="00B16B8F"/>
    <w:rsid w:val="00B21AD6"/>
    <w:rsid w:val="00B21AF5"/>
    <w:rsid w:val="00B30E8D"/>
    <w:rsid w:val="00B3468F"/>
    <w:rsid w:val="00B34F08"/>
    <w:rsid w:val="00B37B2E"/>
    <w:rsid w:val="00B37C98"/>
    <w:rsid w:val="00B4114D"/>
    <w:rsid w:val="00B41F25"/>
    <w:rsid w:val="00B4233A"/>
    <w:rsid w:val="00B4276D"/>
    <w:rsid w:val="00B43683"/>
    <w:rsid w:val="00B44005"/>
    <w:rsid w:val="00B448F4"/>
    <w:rsid w:val="00B45EA7"/>
    <w:rsid w:val="00B47727"/>
    <w:rsid w:val="00B504E6"/>
    <w:rsid w:val="00B50762"/>
    <w:rsid w:val="00B51C57"/>
    <w:rsid w:val="00B537B9"/>
    <w:rsid w:val="00B60FA5"/>
    <w:rsid w:val="00B62C48"/>
    <w:rsid w:val="00B63A07"/>
    <w:rsid w:val="00B64B9F"/>
    <w:rsid w:val="00B6713C"/>
    <w:rsid w:val="00B67A7D"/>
    <w:rsid w:val="00B72AC2"/>
    <w:rsid w:val="00B7501D"/>
    <w:rsid w:val="00B770C2"/>
    <w:rsid w:val="00B77944"/>
    <w:rsid w:val="00B77B4B"/>
    <w:rsid w:val="00B8058E"/>
    <w:rsid w:val="00B810CF"/>
    <w:rsid w:val="00B81492"/>
    <w:rsid w:val="00B82407"/>
    <w:rsid w:val="00B842A4"/>
    <w:rsid w:val="00B846E2"/>
    <w:rsid w:val="00B84D71"/>
    <w:rsid w:val="00B864F4"/>
    <w:rsid w:val="00B91663"/>
    <w:rsid w:val="00B9256D"/>
    <w:rsid w:val="00B93CED"/>
    <w:rsid w:val="00B93DED"/>
    <w:rsid w:val="00B95968"/>
    <w:rsid w:val="00B95AE8"/>
    <w:rsid w:val="00B974DA"/>
    <w:rsid w:val="00BA04C8"/>
    <w:rsid w:val="00BA2246"/>
    <w:rsid w:val="00BA5471"/>
    <w:rsid w:val="00BA7E53"/>
    <w:rsid w:val="00BB2499"/>
    <w:rsid w:val="00BB2872"/>
    <w:rsid w:val="00BC136C"/>
    <w:rsid w:val="00BC389E"/>
    <w:rsid w:val="00BD3157"/>
    <w:rsid w:val="00BD3E86"/>
    <w:rsid w:val="00BD4CC5"/>
    <w:rsid w:val="00BD6087"/>
    <w:rsid w:val="00BE35D1"/>
    <w:rsid w:val="00BE49A1"/>
    <w:rsid w:val="00BE4D18"/>
    <w:rsid w:val="00BE5A7A"/>
    <w:rsid w:val="00BF0268"/>
    <w:rsid w:val="00BF0832"/>
    <w:rsid w:val="00BF29B8"/>
    <w:rsid w:val="00BF522D"/>
    <w:rsid w:val="00BF54FE"/>
    <w:rsid w:val="00C01556"/>
    <w:rsid w:val="00C02839"/>
    <w:rsid w:val="00C03481"/>
    <w:rsid w:val="00C0358B"/>
    <w:rsid w:val="00C04A6A"/>
    <w:rsid w:val="00C04BD3"/>
    <w:rsid w:val="00C0658A"/>
    <w:rsid w:val="00C10FF5"/>
    <w:rsid w:val="00C111BF"/>
    <w:rsid w:val="00C112F0"/>
    <w:rsid w:val="00C13099"/>
    <w:rsid w:val="00C1355D"/>
    <w:rsid w:val="00C23D85"/>
    <w:rsid w:val="00C23DAF"/>
    <w:rsid w:val="00C24387"/>
    <w:rsid w:val="00C248F4"/>
    <w:rsid w:val="00C248F6"/>
    <w:rsid w:val="00C251E5"/>
    <w:rsid w:val="00C254B4"/>
    <w:rsid w:val="00C26B36"/>
    <w:rsid w:val="00C276F7"/>
    <w:rsid w:val="00C277E2"/>
    <w:rsid w:val="00C30409"/>
    <w:rsid w:val="00C31314"/>
    <w:rsid w:val="00C329A8"/>
    <w:rsid w:val="00C33E49"/>
    <w:rsid w:val="00C34EE7"/>
    <w:rsid w:val="00C36040"/>
    <w:rsid w:val="00C36234"/>
    <w:rsid w:val="00C42E21"/>
    <w:rsid w:val="00C479B4"/>
    <w:rsid w:val="00C50EA0"/>
    <w:rsid w:val="00C5140B"/>
    <w:rsid w:val="00C51410"/>
    <w:rsid w:val="00C570C9"/>
    <w:rsid w:val="00C6040A"/>
    <w:rsid w:val="00C632E5"/>
    <w:rsid w:val="00C70FE5"/>
    <w:rsid w:val="00C76186"/>
    <w:rsid w:val="00C7736F"/>
    <w:rsid w:val="00C82373"/>
    <w:rsid w:val="00C85BA7"/>
    <w:rsid w:val="00C879F9"/>
    <w:rsid w:val="00C912B1"/>
    <w:rsid w:val="00C955BF"/>
    <w:rsid w:val="00C97613"/>
    <w:rsid w:val="00CA180D"/>
    <w:rsid w:val="00CB3A92"/>
    <w:rsid w:val="00CC0033"/>
    <w:rsid w:val="00CC4420"/>
    <w:rsid w:val="00CC5986"/>
    <w:rsid w:val="00CD03E0"/>
    <w:rsid w:val="00CD120D"/>
    <w:rsid w:val="00CD1BA6"/>
    <w:rsid w:val="00CD5DDD"/>
    <w:rsid w:val="00CD7308"/>
    <w:rsid w:val="00CD769E"/>
    <w:rsid w:val="00CE05CE"/>
    <w:rsid w:val="00CE1A68"/>
    <w:rsid w:val="00CE4591"/>
    <w:rsid w:val="00CE59F0"/>
    <w:rsid w:val="00CE652B"/>
    <w:rsid w:val="00CF2F92"/>
    <w:rsid w:val="00CF5C91"/>
    <w:rsid w:val="00D0010A"/>
    <w:rsid w:val="00D00215"/>
    <w:rsid w:val="00D0103C"/>
    <w:rsid w:val="00D04801"/>
    <w:rsid w:val="00D04D7B"/>
    <w:rsid w:val="00D1139D"/>
    <w:rsid w:val="00D14585"/>
    <w:rsid w:val="00D1519F"/>
    <w:rsid w:val="00D201F1"/>
    <w:rsid w:val="00D21EA2"/>
    <w:rsid w:val="00D22597"/>
    <w:rsid w:val="00D2291C"/>
    <w:rsid w:val="00D23018"/>
    <w:rsid w:val="00D233D5"/>
    <w:rsid w:val="00D24094"/>
    <w:rsid w:val="00D2512B"/>
    <w:rsid w:val="00D306F4"/>
    <w:rsid w:val="00D31801"/>
    <w:rsid w:val="00D33CAA"/>
    <w:rsid w:val="00D34213"/>
    <w:rsid w:val="00D34C9A"/>
    <w:rsid w:val="00D35EF0"/>
    <w:rsid w:val="00D36927"/>
    <w:rsid w:val="00D36B39"/>
    <w:rsid w:val="00D37107"/>
    <w:rsid w:val="00D4126B"/>
    <w:rsid w:val="00D41C1B"/>
    <w:rsid w:val="00D439E6"/>
    <w:rsid w:val="00D454F4"/>
    <w:rsid w:val="00D45BE6"/>
    <w:rsid w:val="00D46840"/>
    <w:rsid w:val="00D53C07"/>
    <w:rsid w:val="00D558F3"/>
    <w:rsid w:val="00D64254"/>
    <w:rsid w:val="00D64773"/>
    <w:rsid w:val="00D6507A"/>
    <w:rsid w:val="00D67746"/>
    <w:rsid w:val="00D75521"/>
    <w:rsid w:val="00D76996"/>
    <w:rsid w:val="00D76DD9"/>
    <w:rsid w:val="00D8002F"/>
    <w:rsid w:val="00D81A84"/>
    <w:rsid w:val="00D82D66"/>
    <w:rsid w:val="00D831CD"/>
    <w:rsid w:val="00D85737"/>
    <w:rsid w:val="00D875FD"/>
    <w:rsid w:val="00D87C5C"/>
    <w:rsid w:val="00D94D34"/>
    <w:rsid w:val="00DA1BFC"/>
    <w:rsid w:val="00DA1C28"/>
    <w:rsid w:val="00DA2475"/>
    <w:rsid w:val="00DA4337"/>
    <w:rsid w:val="00DA5E91"/>
    <w:rsid w:val="00DB1961"/>
    <w:rsid w:val="00DB2C2F"/>
    <w:rsid w:val="00DB37F4"/>
    <w:rsid w:val="00DC0E45"/>
    <w:rsid w:val="00DC151A"/>
    <w:rsid w:val="00DD416A"/>
    <w:rsid w:val="00DD4423"/>
    <w:rsid w:val="00DE02A9"/>
    <w:rsid w:val="00DE203A"/>
    <w:rsid w:val="00DE483B"/>
    <w:rsid w:val="00DE55A3"/>
    <w:rsid w:val="00DE6BC2"/>
    <w:rsid w:val="00DF1D2D"/>
    <w:rsid w:val="00DF516E"/>
    <w:rsid w:val="00DF6F68"/>
    <w:rsid w:val="00DF7140"/>
    <w:rsid w:val="00DF71BD"/>
    <w:rsid w:val="00E008B6"/>
    <w:rsid w:val="00E00C32"/>
    <w:rsid w:val="00E02867"/>
    <w:rsid w:val="00E047A6"/>
    <w:rsid w:val="00E05B11"/>
    <w:rsid w:val="00E066B9"/>
    <w:rsid w:val="00E07338"/>
    <w:rsid w:val="00E10C8E"/>
    <w:rsid w:val="00E1274B"/>
    <w:rsid w:val="00E1469A"/>
    <w:rsid w:val="00E24B5E"/>
    <w:rsid w:val="00E25EE5"/>
    <w:rsid w:val="00E31F61"/>
    <w:rsid w:val="00E40BC0"/>
    <w:rsid w:val="00E4143A"/>
    <w:rsid w:val="00E4455B"/>
    <w:rsid w:val="00E4491C"/>
    <w:rsid w:val="00E473D9"/>
    <w:rsid w:val="00E47850"/>
    <w:rsid w:val="00E5075A"/>
    <w:rsid w:val="00E50A1C"/>
    <w:rsid w:val="00E52334"/>
    <w:rsid w:val="00E53E3E"/>
    <w:rsid w:val="00E54962"/>
    <w:rsid w:val="00E56C49"/>
    <w:rsid w:val="00E57E22"/>
    <w:rsid w:val="00E61E20"/>
    <w:rsid w:val="00E62D73"/>
    <w:rsid w:val="00E65492"/>
    <w:rsid w:val="00E66664"/>
    <w:rsid w:val="00E7529C"/>
    <w:rsid w:val="00E80D97"/>
    <w:rsid w:val="00E81886"/>
    <w:rsid w:val="00E8665C"/>
    <w:rsid w:val="00E9160F"/>
    <w:rsid w:val="00E91A29"/>
    <w:rsid w:val="00EA1630"/>
    <w:rsid w:val="00EA1836"/>
    <w:rsid w:val="00EA1A06"/>
    <w:rsid w:val="00EA3EF3"/>
    <w:rsid w:val="00EA5D73"/>
    <w:rsid w:val="00EA7C50"/>
    <w:rsid w:val="00EB11EC"/>
    <w:rsid w:val="00EB42C4"/>
    <w:rsid w:val="00EB4889"/>
    <w:rsid w:val="00EB5CF9"/>
    <w:rsid w:val="00EC1F64"/>
    <w:rsid w:val="00EC3EB0"/>
    <w:rsid w:val="00EC577B"/>
    <w:rsid w:val="00EC75C0"/>
    <w:rsid w:val="00ED30EC"/>
    <w:rsid w:val="00ED311C"/>
    <w:rsid w:val="00ED5A0A"/>
    <w:rsid w:val="00EE02D4"/>
    <w:rsid w:val="00EE78E5"/>
    <w:rsid w:val="00EE7B2F"/>
    <w:rsid w:val="00EE7C2C"/>
    <w:rsid w:val="00EF0A5A"/>
    <w:rsid w:val="00EF34CB"/>
    <w:rsid w:val="00EF433E"/>
    <w:rsid w:val="00F01185"/>
    <w:rsid w:val="00F048C7"/>
    <w:rsid w:val="00F04F2B"/>
    <w:rsid w:val="00F059DB"/>
    <w:rsid w:val="00F103A5"/>
    <w:rsid w:val="00F111AA"/>
    <w:rsid w:val="00F11EDB"/>
    <w:rsid w:val="00F12A9C"/>
    <w:rsid w:val="00F14A73"/>
    <w:rsid w:val="00F17702"/>
    <w:rsid w:val="00F213A3"/>
    <w:rsid w:val="00F21876"/>
    <w:rsid w:val="00F24442"/>
    <w:rsid w:val="00F36644"/>
    <w:rsid w:val="00F4296A"/>
    <w:rsid w:val="00F47C7F"/>
    <w:rsid w:val="00F52432"/>
    <w:rsid w:val="00F532FF"/>
    <w:rsid w:val="00F53763"/>
    <w:rsid w:val="00F546F9"/>
    <w:rsid w:val="00F54FFE"/>
    <w:rsid w:val="00F56D70"/>
    <w:rsid w:val="00F624F3"/>
    <w:rsid w:val="00F6357B"/>
    <w:rsid w:val="00F64A7E"/>
    <w:rsid w:val="00F652A8"/>
    <w:rsid w:val="00F669B2"/>
    <w:rsid w:val="00F742F0"/>
    <w:rsid w:val="00F850C6"/>
    <w:rsid w:val="00F8658E"/>
    <w:rsid w:val="00F87672"/>
    <w:rsid w:val="00F879B2"/>
    <w:rsid w:val="00F90957"/>
    <w:rsid w:val="00F91BB4"/>
    <w:rsid w:val="00F920B5"/>
    <w:rsid w:val="00F926AB"/>
    <w:rsid w:val="00F92CBE"/>
    <w:rsid w:val="00F9551D"/>
    <w:rsid w:val="00F96A1E"/>
    <w:rsid w:val="00F96AC3"/>
    <w:rsid w:val="00FA2060"/>
    <w:rsid w:val="00FA2085"/>
    <w:rsid w:val="00FA224D"/>
    <w:rsid w:val="00FA25E0"/>
    <w:rsid w:val="00FA3BD8"/>
    <w:rsid w:val="00FA4647"/>
    <w:rsid w:val="00FA4E60"/>
    <w:rsid w:val="00FA4F50"/>
    <w:rsid w:val="00FA6930"/>
    <w:rsid w:val="00FB6FE6"/>
    <w:rsid w:val="00FC114C"/>
    <w:rsid w:val="00FC7BA6"/>
    <w:rsid w:val="00FD2535"/>
    <w:rsid w:val="00FD7A99"/>
    <w:rsid w:val="00FD7FF5"/>
    <w:rsid w:val="00FE05B4"/>
    <w:rsid w:val="00FE0F4F"/>
    <w:rsid w:val="00FE2720"/>
    <w:rsid w:val="00FE40C2"/>
    <w:rsid w:val="00FE4C5F"/>
    <w:rsid w:val="00FE720D"/>
    <w:rsid w:val="00FF28BD"/>
    <w:rsid w:val="00FF411E"/>
    <w:rsid w:val="00FF490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3E5"/>
    <w:pPr>
      <w:spacing w:after="0" w:line="240" w:lineRule="auto"/>
    </w:pPr>
  </w:style>
  <w:style w:type="table" w:styleId="TableGrid">
    <w:name w:val="Table Grid"/>
    <w:basedOn w:val="TableNormal"/>
    <w:uiPriority w:val="59"/>
    <w:rsid w:val="00592F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82407"/>
    <w:pPr>
      <w:ind w:left="720"/>
      <w:contextualSpacing/>
    </w:pPr>
  </w:style>
  <w:style w:type="paragraph" w:styleId="BalloonText">
    <w:name w:val="Balloon Text"/>
    <w:basedOn w:val="Normal"/>
    <w:link w:val="BalloonTextChar"/>
    <w:uiPriority w:val="99"/>
    <w:semiHidden/>
    <w:unhideWhenUsed/>
    <w:rsid w:val="00D4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C1B"/>
    <w:rPr>
      <w:rFonts w:ascii="Tahoma" w:hAnsi="Tahoma" w:cs="Tahoma"/>
      <w:sz w:val="16"/>
      <w:szCs w:val="16"/>
    </w:rPr>
  </w:style>
  <w:style w:type="paragraph" w:styleId="NormalWeb">
    <w:name w:val="Normal (Web)"/>
    <w:basedOn w:val="Normal"/>
    <w:uiPriority w:val="99"/>
    <w:semiHidden/>
    <w:unhideWhenUsed/>
    <w:rsid w:val="00873A4B"/>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tab">
    <w:name w:val="tab"/>
    <w:basedOn w:val="DefaultParagraphFont"/>
    <w:rsid w:val="00873A4B"/>
  </w:style>
  <w:style w:type="paragraph" w:styleId="Bibliography">
    <w:name w:val="Bibliography"/>
    <w:basedOn w:val="Normal"/>
    <w:next w:val="Normal"/>
    <w:uiPriority w:val="37"/>
    <w:unhideWhenUsed/>
    <w:rsid w:val="00873A4B"/>
    <w:pPr>
      <w:tabs>
        <w:tab w:val="left" w:pos="384"/>
      </w:tabs>
      <w:spacing w:after="240" w:line="240" w:lineRule="auto"/>
      <w:ind w:left="384" w:hanging="384"/>
    </w:pPr>
  </w:style>
</w:styles>
</file>

<file path=word/webSettings.xml><?xml version="1.0" encoding="utf-8"?>
<w:webSettings xmlns:r="http://schemas.openxmlformats.org/officeDocument/2006/relationships" xmlns:w="http://schemas.openxmlformats.org/wordprocessingml/2006/main">
  <w:divs>
    <w:div w:id="1606497167">
      <w:bodyDiv w:val="1"/>
      <w:marLeft w:val="0"/>
      <w:marRight w:val="0"/>
      <w:marTop w:val="0"/>
      <w:marBottom w:val="0"/>
      <w:divBdr>
        <w:top w:val="none" w:sz="0" w:space="0" w:color="auto"/>
        <w:left w:val="none" w:sz="0" w:space="0" w:color="auto"/>
        <w:bottom w:val="none" w:sz="0" w:space="0" w:color="auto"/>
        <w:right w:val="none" w:sz="0" w:space="0" w:color="auto"/>
      </w:divBdr>
      <w:divsChild>
        <w:div w:id="1794245191">
          <w:marLeft w:val="0"/>
          <w:marRight w:val="0"/>
          <w:marTop w:val="0"/>
          <w:marBottom w:val="0"/>
          <w:divBdr>
            <w:top w:val="none" w:sz="0" w:space="0" w:color="auto"/>
            <w:left w:val="none" w:sz="0" w:space="0" w:color="auto"/>
            <w:bottom w:val="none" w:sz="0" w:space="0" w:color="auto"/>
            <w:right w:val="none" w:sz="0" w:space="0" w:color="auto"/>
          </w:divBdr>
        </w:div>
      </w:divsChild>
    </w:div>
    <w:div w:id="20459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Research\TSH%20reference%20range\Result\Miscellaneo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Research\TSH%20reference%20range\Result\Miscellaneo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Research\TSH%20reference%20range\Result\Miscellaneo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cuments\Research\TSH%20reference%20range\Result\Miscellaneou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ocuments\Research\TSH%20reference%20range\Result\Miscellaneou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Documents\Research\TSH%20reference%20range\Result\Miscellaneo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02777777777777"/>
          <c:y val="7.6190476190476197E-2"/>
          <c:w val="0.80822922134733166"/>
          <c:h val="0.67641904761904881"/>
        </c:manualLayout>
      </c:layout>
      <c:barChart>
        <c:barDir val="col"/>
        <c:grouping val="clustered"/>
        <c:ser>
          <c:idx val="0"/>
          <c:order val="0"/>
          <c:tx>
            <c:strRef>
              <c:f>'Gender(New)'!$A$11</c:f>
              <c:strCache>
                <c:ptCount val="1"/>
                <c:pt idx="0">
                  <c:v>Male</c:v>
                </c:pt>
              </c:strCache>
            </c:strRef>
          </c:tx>
          <c:dLbls>
            <c:txPr>
              <a:bodyPr/>
              <a:lstStyle/>
              <a:p>
                <a:pPr>
                  <a:defRPr b="1">
                    <a:latin typeface="Times New Roman" pitchFamily="18" charset="0"/>
                    <a:cs typeface="Times New Roman" pitchFamily="18" charset="0"/>
                  </a:defRPr>
                </a:pPr>
                <a:endParaRPr lang="en-US"/>
              </a:p>
            </c:txPr>
            <c:dLblPos val="outEnd"/>
            <c:showVal val="1"/>
          </c:dLbls>
          <c:cat>
            <c:strRef>
              <c:f>'Gender(New)'!$B$10:$C$10</c:f>
              <c:strCache>
                <c:ptCount val="2"/>
                <c:pt idx="0">
                  <c:v>Method-1 (Upper Limit)</c:v>
                </c:pt>
                <c:pt idx="1">
                  <c:v>Method-2 (Upper Limit)</c:v>
                </c:pt>
              </c:strCache>
            </c:strRef>
          </c:cat>
          <c:val>
            <c:numRef>
              <c:f>'Gender(New)'!$B$11:$C$11</c:f>
              <c:numCache>
                <c:formatCode>General</c:formatCode>
                <c:ptCount val="2"/>
                <c:pt idx="0">
                  <c:v>5.95</c:v>
                </c:pt>
                <c:pt idx="1">
                  <c:v>5.64</c:v>
                </c:pt>
              </c:numCache>
            </c:numRef>
          </c:val>
        </c:ser>
        <c:ser>
          <c:idx val="1"/>
          <c:order val="1"/>
          <c:tx>
            <c:strRef>
              <c:f>'Gender(New)'!$A$12</c:f>
              <c:strCache>
                <c:ptCount val="1"/>
                <c:pt idx="0">
                  <c:v>Female</c:v>
                </c:pt>
              </c:strCache>
            </c:strRef>
          </c:tx>
          <c:dLbls>
            <c:txPr>
              <a:bodyPr/>
              <a:lstStyle/>
              <a:p>
                <a:pPr>
                  <a:defRPr b="1">
                    <a:latin typeface="Times New Roman" pitchFamily="18" charset="0"/>
                    <a:cs typeface="Times New Roman" pitchFamily="18" charset="0"/>
                  </a:defRPr>
                </a:pPr>
                <a:endParaRPr lang="en-US"/>
              </a:p>
            </c:txPr>
            <c:dLblPos val="outEnd"/>
            <c:showVal val="1"/>
          </c:dLbls>
          <c:cat>
            <c:strRef>
              <c:f>'Gender(New)'!$B$10:$C$10</c:f>
              <c:strCache>
                <c:ptCount val="2"/>
                <c:pt idx="0">
                  <c:v>Method-1 (Upper Limit)</c:v>
                </c:pt>
                <c:pt idx="1">
                  <c:v>Method-2 (Upper Limit)</c:v>
                </c:pt>
              </c:strCache>
            </c:strRef>
          </c:cat>
          <c:val>
            <c:numRef>
              <c:f>'Gender(New)'!$B$12:$C$12</c:f>
              <c:numCache>
                <c:formatCode>General</c:formatCode>
                <c:ptCount val="2"/>
                <c:pt idx="0">
                  <c:v>6.07</c:v>
                </c:pt>
                <c:pt idx="1">
                  <c:v>5.87</c:v>
                </c:pt>
              </c:numCache>
            </c:numRef>
          </c:val>
        </c:ser>
        <c:dLbls>
          <c:showVal val="1"/>
        </c:dLbls>
        <c:axId val="174487808"/>
        <c:axId val="174511616"/>
      </c:barChart>
      <c:catAx>
        <c:axId val="174487808"/>
        <c:scaling>
          <c:orientation val="minMax"/>
        </c:scaling>
        <c:axPos val="b"/>
        <c:tickLblPos val="nextTo"/>
        <c:txPr>
          <a:bodyPr/>
          <a:lstStyle/>
          <a:p>
            <a:pPr>
              <a:defRPr b="1">
                <a:latin typeface="Times New Roman" pitchFamily="18" charset="0"/>
                <a:cs typeface="Times New Roman" pitchFamily="18" charset="0"/>
              </a:defRPr>
            </a:pPr>
            <a:endParaRPr lang="en-US"/>
          </a:p>
        </c:txPr>
        <c:crossAx val="174511616"/>
        <c:crosses val="autoZero"/>
        <c:auto val="1"/>
        <c:lblAlgn val="ctr"/>
        <c:lblOffset val="100"/>
      </c:catAx>
      <c:valAx>
        <c:axId val="174511616"/>
        <c:scaling>
          <c:orientation val="minMax"/>
          <c:max val="6.1"/>
          <c:min val="5.5"/>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TSH (mIU/L)</a:t>
                </a:r>
              </a:p>
            </c:rich>
          </c:tx>
        </c:title>
        <c:numFmt formatCode="General" sourceLinked="1"/>
        <c:majorTickMark val="in"/>
        <c:tickLblPos val="nextTo"/>
        <c:txPr>
          <a:bodyPr/>
          <a:lstStyle/>
          <a:p>
            <a:pPr>
              <a:defRPr b="1">
                <a:latin typeface="Times New Roman" pitchFamily="18" charset="0"/>
                <a:cs typeface="Times New Roman" pitchFamily="18" charset="0"/>
              </a:defRPr>
            </a:pPr>
            <a:endParaRPr lang="en-US"/>
          </a:p>
        </c:txPr>
        <c:crossAx val="174487808"/>
        <c:crosses val="autoZero"/>
        <c:crossBetween val="between"/>
        <c:majorUnit val="0.2"/>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'Gender(New)'!$A$4</c:f>
              <c:strCache>
                <c:ptCount val="1"/>
                <c:pt idx="0">
                  <c:v>Male</c:v>
                </c:pt>
              </c:strCache>
            </c:strRef>
          </c:tx>
          <c:dLbls>
            <c:txPr>
              <a:bodyPr/>
              <a:lstStyle/>
              <a:p>
                <a:pPr>
                  <a:defRPr b="1">
                    <a:latin typeface="Times New Roman" pitchFamily="18" charset="0"/>
                    <a:cs typeface="Times New Roman" pitchFamily="18" charset="0"/>
                  </a:defRPr>
                </a:pPr>
                <a:endParaRPr lang="en-US"/>
              </a:p>
            </c:txPr>
            <c:showVal val="1"/>
          </c:dLbls>
          <c:cat>
            <c:strRef>
              <c:f>'Gender(New)'!$B$3:$C$3</c:f>
              <c:strCache>
                <c:ptCount val="2"/>
                <c:pt idx="0">
                  <c:v>Method-1 (Lower Limit)</c:v>
                </c:pt>
                <c:pt idx="1">
                  <c:v>Method-2 (Lower Limit)</c:v>
                </c:pt>
              </c:strCache>
            </c:strRef>
          </c:cat>
          <c:val>
            <c:numRef>
              <c:f>'Gender(New)'!$B$4:$C$4</c:f>
              <c:numCache>
                <c:formatCode>General</c:formatCode>
                <c:ptCount val="2"/>
                <c:pt idx="0">
                  <c:v>0.30000000000000016</c:v>
                </c:pt>
                <c:pt idx="1">
                  <c:v>0.35000000000000014</c:v>
                </c:pt>
              </c:numCache>
            </c:numRef>
          </c:val>
        </c:ser>
        <c:ser>
          <c:idx val="1"/>
          <c:order val="1"/>
          <c:tx>
            <c:strRef>
              <c:f>'Gender(New)'!$A$5</c:f>
              <c:strCache>
                <c:ptCount val="1"/>
                <c:pt idx="0">
                  <c:v>Female</c:v>
                </c:pt>
              </c:strCache>
            </c:strRef>
          </c:tx>
          <c:dLbls>
            <c:txPr>
              <a:bodyPr/>
              <a:lstStyle/>
              <a:p>
                <a:pPr>
                  <a:defRPr b="1">
                    <a:latin typeface="Times New Roman" pitchFamily="18" charset="0"/>
                    <a:cs typeface="Times New Roman" pitchFamily="18" charset="0"/>
                  </a:defRPr>
                </a:pPr>
                <a:endParaRPr lang="en-US"/>
              </a:p>
            </c:txPr>
            <c:showVal val="1"/>
          </c:dLbls>
          <c:cat>
            <c:strRef>
              <c:f>'Gender(New)'!$B$3:$C$3</c:f>
              <c:strCache>
                <c:ptCount val="2"/>
                <c:pt idx="0">
                  <c:v>Method-1 (Lower Limit)</c:v>
                </c:pt>
                <c:pt idx="1">
                  <c:v>Method-2 (Lower Limit)</c:v>
                </c:pt>
              </c:strCache>
            </c:strRef>
          </c:cat>
          <c:val>
            <c:numRef>
              <c:f>'Gender(New)'!$B$5:$C$5</c:f>
              <c:numCache>
                <c:formatCode>General</c:formatCode>
                <c:ptCount val="2"/>
                <c:pt idx="0">
                  <c:v>0.31000000000000016</c:v>
                </c:pt>
                <c:pt idx="1">
                  <c:v>0.36000000000000015</c:v>
                </c:pt>
              </c:numCache>
            </c:numRef>
          </c:val>
        </c:ser>
        <c:dLbls>
          <c:showVal val="1"/>
        </c:dLbls>
        <c:axId val="175033344"/>
        <c:axId val="175044096"/>
      </c:barChart>
      <c:catAx>
        <c:axId val="175033344"/>
        <c:scaling>
          <c:orientation val="minMax"/>
        </c:scaling>
        <c:axPos val="b"/>
        <c:majorTickMark val="none"/>
        <c:tickLblPos val="nextTo"/>
        <c:txPr>
          <a:bodyPr/>
          <a:lstStyle/>
          <a:p>
            <a:pPr>
              <a:defRPr b="1">
                <a:latin typeface="Times New Roman" pitchFamily="18" charset="0"/>
                <a:cs typeface="Times New Roman" pitchFamily="18" charset="0"/>
              </a:defRPr>
            </a:pPr>
            <a:endParaRPr lang="en-US"/>
          </a:p>
        </c:txPr>
        <c:crossAx val="175044096"/>
        <c:crosses val="autoZero"/>
        <c:auto val="1"/>
        <c:lblAlgn val="ctr"/>
        <c:lblOffset val="100"/>
      </c:catAx>
      <c:valAx>
        <c:axId val="175044096"/>
        <c:scaling>
          <c:orientation val="minMax"/>
          <c:max val="0.4"/>
          <c:min val="0.25"/>
        </c:scaling>
        <c:axPos val="l"/>
        <c:title>
          <c:tx>
            <c:rich>
              <a:bodyPr/>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TSH (mIU/L)</a:t>
                </a:r>
              </a:p>
            </c:rich>
          </c:tx>
        </c:title>
        <c:numFmt formatCode="General" sourceLinked="1"/>
        <c:majorTickMark val="in"/>
        <c:tickLblPos val="nextTo"/>
        <c:txPr>
          <a:bodyPr/>
          <a:lstStyle/>
          <a:p>
            <a:pPr>
              <a:defRPr b="1">
                <a:latin typeface="Times New Roman" pitchFamily="18" charset="0"/>
                <a:cs typeface="Times New Roman" pitchFamily="18" charset="0"/>
              </a:defRPr>
            </a:pPr>
            <a:endParaRPr lang="en-US"/>
          </a:p>
        </c:txPr>
        <c:crossAx val="175033344"/>
        <c:crosses val="autoZero"/>
        <c:crossBetween val="between"/>
        <c:majorUnit val="0.05"/>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'Age-Groups (New)'!$B$12</c:f>
              <c:strCache>
                <c:ptCount val="1"/>
                <c:pt idx="0">
                  <c:v>Method-1</c:v>
                </c:pt>
              </c:strCache>
            </c:strRef>
          </c:tx>
          <c:dLbls>
            <c:txPr>
              <a:bodyPr/>
              <a:lstStyle/>
              <a:p>
                <a:pPr>
                  <a:defRPr b="1">
                    <a:latin typeface="Times New Roman" pitchFamily="18" charset="0"/>
                    <a:cs typeface="Times New Roman" pitchFamily="18" charset="0"/>
                  </a:defRPr>
                </a:pPr>
                <a:endParaRPr lang="en-US"/>
              </a:p>
            </c:txPr>
            <c:dLblPos val="t"/>
            <c:showVal val="1"/>
          </c:dLbls>
          <c:cat>
            <c:strRef>
              <c:f>'Age-Groups (New)'!$A$13:$A$17</c:f>
              <c:strCache>
                <c:ptCount val="5"/>
                <c:pt idx="0">
                  <c:v>&lt;30 years</c:v>
                </c:pt>
                <c:pt idx="1">
                  <c:v>30-40 Years</c:v>
                </c:pt>
                <c:pt idx="2">
                  <c:v>40-50 years</c:v>
                </c:pt>
                <c:pt idx="3">
                  <c:v>50-60 Years</c:v>
                </c:pt>
                <c:pt idx="4">
                  <c:v>≥60 Years</c:v>
                </c:pt>
              </c:strCache>
            </c:strRef>
          </c:cat>
          <c:val>
            <c:numRef>
              <c:f>'Age-Groups (New)'!$B$13:$B$17</c:f>
              <c:numCache>
                <c:formatCode>General</c:formatCode>
                <c:ptCount val="5"/>
                <c:pt idx="0">
                  <c:v>5.96</c:v>
                </c:pt>
                <c:pt idx="1">
                  <c:v>6.14</c:v>
                </c:pt>
                <c:pt idx="2">
                  <c:v>6.1199999999999974</c:v>
                </c:pt>
                <c:pt idx="3">
                  <c:v>6.03</c:v>
                </c:pt>
                <c:pt idx="4">
                  <c:v>5.99</c:v>
                </c:pt>
              </c:numCache>
            </c:numRef>
          </c:val>
        </c:ser>
        <c:ser>
          <c:idx val="1"/>
          <c:order val="1"/>
          <c:tx>
            <c:strRef>
              <c:f>'Age-Groups (New)'!$C$12</c:f>
              <c:strCache>
                <c:ptCount val="1"/>
                <c:pt idx="0">
                  <c:v>Method-2</c:v>
                </c:pt>
              </c:strCache>
            </c:strRef>
          </c:tx>
          <c:dLbls>
            <c:txPr>
              <a:bodyPr/>
              <a:lstStyle/>
              <a:p>
                <a:pPr>
                  <a:defRPr b="1">
                    <a:latin typeface="Times New Roman" pitchFamily="18" charset="0"/>
                    <a:cs typeface="Times New Roman" pitchFamily="18" charset="0"/>
                  </a:defRPr>
                </a:pPr>
                <a:endParaRPr lang="en-US"/>
              </a:p>
            </c:txPr>
            <c:dLblPos val="b"/>
            <c:showVal val="1"/>
          </c:dLbls>
          <c:cat>
            <c:strRef>
              <c:f>'Age-Groups (New)'!$A$13:$A$17</c:f>
              <c:strCache>
                <c:ptCount val="5"/>
                <c:pt idx="0">
                  <c:v>&lt;30 years</c:v>
                </c:pt>
                <c:pt idx="1">
                  <c:v>30-40 Years</c:v>
                </c:pt>
                <c:pt idx="2">
                  <c:v>40-50 years</c:v>
                </c:pt>
                <c:pt idx="3">
                  <c:v>50-60 Years</c:v>
                </c:pt>
                <c:pt idx="4">
                  <c:v>≥60 Years</c:v>
                </c:pt>
              </c:strCache>
            </c:strRef>
          </c:cat>
          <c:val>
            <c:numRef>
              <c:f>'Age-Groups (New)'!$C$13:$C$17</c:f>
              <c:numCache>
                <c:formatCode>General</c:formatCode>
                <c:ptCount val="5"/>
                <c:pt idx="0">
                  <c:v>5.6499999999999995</c:v>
                </c:pt>
                <c:pt idx="1">
                  <c:v>5.89</c:v>
                </c:pt>
                <c:pt idx="2">
                  <c:v>5.87</c:v>
                </c:pt>
                <c:pt idx="3">
                  <c:v>5.8199999999999985</c:v>
                </c:pt>
                <c:pt idx="4">
                  <c:v>5.75</c:v>
                </c:pt>
              </c:numCache>
            </c:numRef>
          </c:val>
        </c:ser>
        <c:dLbls>
          <c:showVal val="1"/>
        </c:dLbls>
        <c:marker val="1"/>
        <c:axId val="177471488"/>
        <c:axId val="177473792"/>
      </c:lineChart>
      <c:catAx>
        <c:axId val="177471488"/>
        <c:scaling>
          <c:orientation val="minMax"/>
        </c:scaling>
        <c:delete val="1"/>
        <c:axPos val="b"/>
        <c:tickLblPos val="nextTo"/>
        <c:crossAx val="177473792"/>
        <c:crosses val="autoZero"/>
        <c:auto val="1"/>
        <c:lblAlgn val="ctr"/>
        <c:lblOffset val="100"/>
      </c:catAx>
      <c:valAx>
        <c:axId val="177473792"/>
        <c:scaling>
          <c:orientation val="minMax"/>
          <c:max val="6.3"/>
          <c:min val="5.5"/>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TSH (mIU/L)</a:t>
                </a:r>
              </a:p>
            </c:rich>
          </c:tx>
        </c:title>
        <c:numFmt formatCode="General" sourceLinked="1"/>
        <c:tickLblPos val="nextTo"/>
        <c:txPr>
          <a:bodyPr/>
          <a:lstStyle/>
          <a:p>
            <a:pPr>
              <a:defRPr b="1">
                <a:latin typeface="Times New Roman" pitchFamily="18" charset="0"/>
                <a:cs typeface="Times New Roman" pitchFamily="18" charset="0"/>
              </a:defRPr>
            </a:pPr>
            <a:endParaRPr lang="en-US"/>
          </a:p>
        </c:txPr>
        <c:crossAx val="177471488"/>
        <c:crosses val="autoZero"/>
        <c:crossBetween val="between"/>
        <c:majorUnit val="0.1"/>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610894941634241"/>
          <c:y val="5.0925925925925923E-2"/>
          <c:w val="0.83535667963683513"/>
          <c:h val="0.6970640128317297"/>
        </c:manualLayout>
      </c:layout>
      <c:lineChart>
        <c:grouping val="standard"/>
        <c:ser>
          <c:idx val="0"/>
          <c:order val="0"/>
          <c:tx>
            <c:strRef>
              <c:f>'Age-Groups (New)'!$B$3</c:f>
              <c:strCache>
                <c:ptCount val="1"/>
                <c:pt idx="0">
                  <c:v>Method-1 (Lower Limit)</c:v>
                </c:pt>
              </c:strCache>
            </c:strRef>
          </c:tx>
          <c:dLbls>
            <c:dLbl>
              <c:idx val="4"/>
              <c:layout>
                <c:manualLayout>
                  <c:x val="3.6316472114137487E-2"/>
                  <c:y val="-0.10727969348659019"/>
                </c:manualLayout>
              </c:layout>
              <c:dLblPos val="b"/>
              <c:showVal val="1"/>
            </c:dLbl>
            <c:txPr>
              <a:bodyPr/>
              <a:lstStyle/>
              <a:p>
                <a:pPr>
                  <a:defRPr b="1">
                    <a:latin typeface="Times New Roman" pitchFamily="18" charset="0"/>
                    <a:cs typeface="Times New Roman" pitchFamily="18" charset="0"/>
                  </a:defRPr>
                </a:pPr>
                <a:endParaRPr lang="en-US"/>
              </a:p>
            </c:txPr>
            <c:dLblPos val="b"/>
            <c:showVal val="1"/>
          </c:dLbls>
          <c:cat>
            <c:strRef>
              <c:f>'Age-Groups (New)'!$A$4:$A$8</c:f>
              <c:strCache>
                <c:ptCount val="5"/>
                <c:pt idx="0">
                  <c:v>&lt;30 years</c:v>
                </c:pt>
                <c:pt idx="1">
                  <c:v>30-40 Years</c:v>
                </c:pt>
                <c:pt idx="2">
                  <c:v>40-50 years</c:v>
                </c:pt>
                <c:pt idx="3">
                  <c:v>50-60 Years</c:v>
                </c:pt>
                <c:pt idx="4">
                  <c:v>≥60 Years</c:v>
                </c:pt>
              </c:strCache>
            </c:strRef>
          </c:cat>
          <c:val>
            <c:numRef>
              <c:f>'Age-Groups (New)'!$B$4:$B$8</c:f>
              <c:numCache>
                <c:formatCode>General</c:formatCode>
                <c:ptCount val="5"/>
                <c:pt idx="0">
                  <c:v>0.38000000000000017</c:v>
                </c:pt>
                <c:pt idx="1">
                  <c:v>0.41000000000000014</c:v>
                </c:pt>
                <c:pt idx="2">
                  <c:v>0.4</c:v>
                </c:pt>
                <c:pt idx="3">
                  <c:v>0.31000000000000016</c:v>
                </c:pt>
                <c:pt idx="4">
                  <c:v>0.22</c:v>
                </c:pt>
              </c:numCache>
            </c:numRef>
          </c:val>
        </c:ser>
        <c:ser>
          <c:idx val="1"/>
          <c:order val="1"/>
          <c:tx>
            <c:strRef>
              <c:f>'Age-Groups (New)'!$C$3</c:f>
              <c:strCache>
                <c:ptCount val="1"/>
                <c:pt idx="0">
                  <c:v>Method-2 (Lower Limit)</c:v>
                </c:pt>
              </c:strCache>
            </c:strRef>
          </c:tx>
          <c:dLbls>
            <c:txPr>
              <a:bodyPr/>
              <a:lstStyle/>
              <a:p>
                <a:pPr>
                  <a:defRPr b="1">
                    <a:latin typeface="Times New Roman" pitchFamily="18" charset="0"/>
                    <a:cs typeface="Times New Roman" pitchFamily="18" charset="0"/>
                  </a:defRPr>
                </a:pPr>
                <a:endParaRPr lang="en-US"/>
              </a:p>
            </c:txPr>
            <c:dLblPos val="t"/>
            <c:showVal val="1"/>
          </c:dLbls>
          <c:cat>
            <c:strRef>
              <c:f>'Age-Groups (New)'!$A$4:$A$8</c:f>
              <c:strCache>
                <c:ptCount val="5"/>
                <c:pt idx="0">
                  <c:v>&lt;30 years</c:v>
                </c:pt>
                <c:pt idx="1">
                  <c:v>30-40 Years</c:v>
                </c:pt>
                <c:pt idx="2">
                  <c:v>40-50 years</c:v>
                </c:pt>
                <c:pt idx="3">
                  <c:v>50-60 Years</c:v>
                </c:pt>
                <c:pt idx="4">
                  <c:v>≥60 Years</c:v>
                </c:pt>
              </c:strCache>
            </c:strRef>
          </c:cat>
          <c:val>
            <c:numRef>
              <c:f>'Age-Groups (New)'!$C$4:$C$8</c:f>
              <c:numCache>
                <c:formatCode>General</c:formatCode>
                <c:ptCount val="5"/>
                <c:pt idx="0">
                  <c:v>0.43000000000000016</c:v>
                </c:pt>
                <c:pt idx="1">
                  <c:v>0.44</c:v>
                </c:pt>
                <c:pt idx="2">
                  <c:v>0.41000000000000014</c:v>
                </c:pt>
                <c:pt idx="3">
                  <c:v>0.35000000000000014</c:v>
                </c:pt>
                <c:pt idx="4">
                  <c:v>0.27</c:v>
                </c:pt>
              </c:numCache>
            </c:numRef>
          </c:val>
        </c:ser>
        <c:dLbls>
          <c:showVal val="1"/>
        </c:dLbls>
        <c:marker val="1"/>
        <c:axId val="177802624"/>
        <c:axId val="177809280"/>
      </c:lineChart>
      <c:catAx>
        <c:axId val="177802624"/>
        <c:scaling>
          <c:orientation val="minMax"/>
        </c:scaling>
        <c:axPos val="b"/>
        <c:tickLblPos val="nextTo"/>
        <c:txPr>
          <a:bodyPr/>
          <a:lstStyle/>
          <a:p>
            <a:pPr>
              <a:defRPr b="1">
                <a:latin typeface="Times New Roman" pitchFamily="18" charset="0"/>
                <a:cs typeface="Times New Roman" pitchFamily="18" charset="0"/>
              </a:defRPr>
            </a:pPr>
            <a:endParaRPr lang="en-US"/>
          </a:p>
        </c:txPr>
        <c:crossAx val="177809280"/>
        <c:crosses val="autoZero"/>
        <c:auto val="1"/>
        <c:lblAlgn val="ctr"/>
        <c:lblOffset val="100"/>
      </c:catAx>
      <c:valAx>
        <c:axId val="177809280"/>
        <c:scaling>
          <c:orientation val="minMax"/>
          <c:max val="0.5"/>
          <c:min val="0.18000000000000019"/>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TSH (mIU/L)</a:t>
                </a:r>
              </a:p>
            </c:rich>
          </c:tx>
        </c:title>
        <c:numFmt formatCode="General" sourceLinked="1"/>
        <c:tickLblPos val="nextTo"/>
        <c:txPr>
          <a:bodyPr/>
          <a:lstStyle/>
          <a:p>
            <a:pPr>
              <a:defRPr b="1">
                <a:latin typeface="Times New Roman" pitchFamily="18" charset="0"/>
                <a:cs typeface="Times New Roman" pitchFamily="18" charset="0"/>
              </a:defRPr>
            </a:pPr>
            <a:endParaRPr lang="en-US"/>
          </a:p>
        </c:txPr>
        <c:crossAx val="177802624"/>
        <c:crosses val="autoZero"/>
        <c:crossBetween val="between"/>
        <c:majorUnit val="4.0000000000000022E-2"/>
      </c:valAx>
      <c:spPr>
        <a:noFill/>
        <a:ln w="25400">
          <a:noFill/>
        </a:ln>
      </c:spPr>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'Ethnic-Groups'!$B$11</c:f>
              <c:strCache>
                <c:ptCount val="1"/>
                <c:pt idx="0">
                  <c:v>Method-1</c:v>
                </c:pt>
              </c:strCache>
            </c:strRef>
          </c:tx>
          <c:dLbls>
            <c:txPr>
              <a:bodyPr/>
              <a:lstStyle/>
              <a:p>
                <a:pPr>
                  <a:defRPr b="1">
                    <a:latin typeface="Times New Roman" pitchFamily="18" charset="0"/>
                    <a:cs typeface="Times New Roman" pitchFamily="18" charset="0"/>
                  </a:defRPr>
                </a:pPr>
                <a:endParaRPr lang="en-US"/>
              </a:p>
            </c:txPr>
            <c:dLblPos val="t"/>
            <c:showVal val="1"/>
          </c:dLbls>
          <c:cat>
            <c:strRef>
              <c:f>'Ethnic-Groups'!$A$12:$A$15</c:f>
              <c:strCache>
                <c:ptCount val="4"/>
                <c:pt idx="0">
                  <c:v>Indo-Aryans</c:v>
                </c:pt>
                <c:pt idx="1">
                  <c:v>Tibeto-Burmans</c:v>
                </c:pt>
                <c:pt idx="2">
                  <c:v>Newars</c:v>
                </c:pt>
                <c:pt idx="3">
                  <c:v>Miscellaneous</c:v>
                </c:pt>
              </c:strCache>
            </c:strRef>
          </c:cat>
          <c:val>
            <c:numRef>
              <c:f>'Ethnic-Groups'!$B$12:$B$15</c:f>
              <c:numCache>
                <c:formatCode>General</c:formatCode>
                <c:ptCount val="4"/>
                <c:pt idx="0">
                  <c:v>6.1099999999999985</c:v>
                </c:pt>
                <c:pt idx="1">
                  <c:v>5.94</c:v>
                </c:pt>
                <c:pt idx="2">
                  <c:v>5.8</c:v>
                </c:pt>
                <c:pt idx="3">
                  <c:v>6.02</c:v>
                </c:pt>
              </c:numCache>
            </c:numRef>
          </c:val>
        </c:ser>
        <c:ser>
          <c:idx val="1"/>
          <c:order val="1"/>
          <c:tx>
            <c:strRef>
              <c:f>'Ethnic-Groups'!$C$11</c:f>
              <c:strCache>
                <c:ptCount val="1"/>
                <c:pt idx="0">
                  <c:v>Method-2</c:v>
                </c:pt>
              </c:strCache>
            </c:strRef>
          </c:tx>
          <c:dLbls>
            <c:txPr>
              <a:bodyPr/>
              <a:lstStyle/>
              <a:p>
                <a:pPr>
                  <a:defRPr b="1">
                    <a:latin typeface="Times New Roman" pitchFamily="18" charset="0"/>
                    <a:cs typeface="Times New Roman" pitchFamily="18" charset="0"/>
                  </a:defRPr>
                </a:pPr>
                <a:endParaRPr lang="en-US"/>
              </a:p>
            </c:txPr>
            <c:dLblPos val="b"/>
            <c:showVal val="1"/>
          </c:dLbls>
          <c:cat>
            <c:strRef>
              <c:f>'Ethnic-Groups'!$A$12:$A$15</c:f>
              <c:strCache>
                <c:ptCount val="4"/>
                <c:pt idx="0">
                  <c:v>Indo-Aryans</c:v>
                </c:pt>
                <c:pt idx="1">
                  <c:v>Tibeto-Burmans</c:v>
                </c:pt>
                <c:pt idx="2">
                  <c:v>Newars</c:v>
                </c:pt>
                <c:pt idx="3">
                  <c:v>Miscellaneous</c:v>
                </c:pt>
              </c:strCache>
            </c:strRef>
          </c:cat>
          <c:val>
            <c:numRef>
              <c:f>'Ethnic-Groups'!$C$12:$C$15</c:f>
              <c:numCache>
                <c:formatCode>General</c:formatCode>
                <c:ptCount val="4"/>
                <c:pt idx="0">
                  <c:v>5.83</c:v>
                </c:pt>
                <c:pt idx="1">
                  <c:v>5.8199999999999985</c:v>
                </c:pt>
                <c:pt idx="2">
                  <c:v>5.6499999999999995</c:v>
                </c:pt>
                <c:pt idx="3">
                  <c:v>5.8599999999999985</c:v>
                </c:pt>
              </c:numCache>
            </c:numRef>
          </c:val>
        </c:ser>
        <c:dLbls>
          <c:showVal val="1"/>
        </c:dLbls>
        <c:marker val="1"/>
        <c:axId val="179425664"/>
        <c:axId val="179427584"/>
      </c:lineChart>
      <c:catAx>
        <c:axId val="179425664"/>
        <c:scaling>
          <c:orientation val="minMax"/>
        </c:scaling>
        <c:delete val="1"/>
        <c:axPos val="b"/>
        <c:tickLblPos val="nextTo"/>
        <c:crossAx val="179427584"/>
        <c:crosses val="autoZero"/>
        <c:auto val="1"/>
        <c:lblAlgn val="ctr"/>
        <c:lblOffset val="100"/>
      </c:catAx>
      <c:valAx>
        <c:axId val="179427584"/>
        <c:scaling>
          <c:orientation val="minMax"/>
          <c:max val="6.3"/>
        </c:scaling>
        <c:axPos val="l"/>
        <c:title>
          <c:tx>
            <c:rich>
              <a:bodyPr rot="-5400000" vert="horz"/>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TSH (mIU/L)</a:t>
                </a:r>
              </a:p>
            </c:rich>
          </c:tx>
        </c:title>
        <c:numFmt formatCode="General" sourceLinked="1"/>
        <c:tickLblPos val="nextTo"/>
        <c:txPr>
          <a:bodyPr/>
          <a:lstStyle/>
          <a:p>
            <a:pPr>
              <a:defRPr b="1">
                <a:latin typeface="Times New Roman" pitchFamily="18" charset="0"/>
                <a:cs typeface="Times New Roman" pitchFamily="18" charset="0"/>
              </a:defRPr>
            </a:pPr>
            <a:endParaRPr lang="en-US"/>
          </a:p>
        </c:txPr>
        <c:crossAx val="17942566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447462817147871"/>
          <c:y val="7.4388741608304013E-2"/>
          <c:w val="0.83608092738407791"/>
          <c:h val="0.7079840145609948"/>
        </c:manualLayout>
      </c:layout>
      <c:lineChart>
        <c:grouping val="standard"/>
        <c:ser>
          <c:idx val="0"/>
          <c:order val="0"/>
          <c:tx>
            <c:strRef>
              <c:f>'Ethnic-Groups'!$B$3</c:f>
              <c:strCache>
                <c:ptCount val="1"/>
                <c:pt idx="0">
                  <c:v>Method-1 (Lower Limit)</c:v>
                </c:pt>
              </c:strCache>
            </c:strRef>
          </c:tx>
          <c:dLbls>
            <c:txPr>
              <a:bodyPr/>
              <a:lstStyle/>
              <a:p>
                <a:pPr>
                  <a:defRPr b="1">
                    <a:latin typeface="Times New Roman" pitchFamily="18" charset="0"/>
                    <a:cs typeface="Times New Roman" pitchFamily="18" charset="0"/>
                  </a:defRPr>
                </a:pPr>
                <a:endParaRPr lang="en-US"/>
              </a:p>
            </c:txPr>
            <c:dLblPos val="b"/>
            <c:showVal val="1"/>
          </c:dLbls>
          <c:cat>
            <c:strRef>
              <c:f>'Ethnic-Groups'!$A$4:$A$7</c:f>
              <c:strCache>
                <c:ptCount val="4"/>
                <c:pt idx="0">
                  <c:v>Indo-Aryans</c:v>
                </c:pt>
                <c:pt idx="1">
                  <c:v>Tibeto-Burmans</c:v>
                </c:pt>
                <c:pt idx="2">
                  <c:v>Newars</c:v>
                </c:pt>
                <c:pt idx="3">
                  <c:v>Miscellaneous</c:v>
                </c:pt>
              </c:strCache>
            </c:strRef>
          </c:cat>
          <c:val>
            <c:numRef>
              <c:f>'Ethnic-Groups'!$B$4:$B$7</c:f>
              <c:numCache>
                <c:formatCode>General</c:formatCode>
                <c:ptCount val="4"/>
                <c:pt idx="0">
                  <c:v>0.31000000000000016</c:v>
                </c:pt>
                <c:pt idx="1">
                  <c:v>0.31000000000000016</c:v>
                </c:pt>
                <c:pt idx="2">
                  <c:v>0.30000000000000016</c:v>
                </c:pt>
                <c:pt idx="3">
                  <c:v>0.30000000000000016</c:v>
                </c:pt>
              </c:numCache>
            </c:numRef>
          </c:val>
        </c:ser>
        <c:ser>
          <c:idx val="1"/>
          <c:order val="1"/>
          <c:tx>
            <c:strRef>
              <c:f>'Ethnic-Groups'!$C$3</c:f>
              <c:strCache>
                <c:ptCount val="1"/>
                <c:pt idx="0">
                  <c:v>Method-2 (Lower Limit)</c:v>
                </c:pt>
              </c:strCache>
            </c:strRef>
          </c:tx>
          <c:dLbls>
            <c:txPr>
              <a:bodyPr/>
              <a:lstStyle/>
              <a:p>
                <a:pPr>
                  <a:defRPr b="1">
                    <a:latin typeface="Times New Roman" pitchFamily="18" charset="0"/>
                    <a:cs typeface="Times New Roman" pitchFamily="18" charset="0"/>
                  </a:defRPr>
                </a:pPr>
                <a:endParaRPr lang="en-US"/>
              </a:p>
            </c:txPr>
            <c:dLblPos val="t"/>
            <c:showVal val="1"/>
          </c:dLbls>
          <c:cat>
            <c:strRef>
              <c:f>'Ethnic-Groups'!$A$4:$A$7</c:f>
              <c:strCache>
                <c:ptCount val="4"/>
                <c:pt idx="0">
                  <c:v>Indo-Aryans</c:v>
                </c:pt>
                <c:pt idx="1">
                  <c:v>Tibeto-Burmans</c:v>
                </c:pt>
                <c:pt idx="2">
                  <c:v>Newars</c:v>
                </c:pt>
                <c:pt idx="3">
                  <c:v>Miscellaneous</c:v>
                </c:pt>
              </c:strCache>
            </c:strRef>
          </c:cat>
          <c:val>
            <c:numRef>
              <c:f>'Ethnic-Groups'!$C$4:$C$7</c:f>
              <c:numCache>
                <c:formatCode>General</c:formatCode>
                <c:ptCount val="4"/>
                <c:pt idx="0">
                  <c:v>0.36000000000000015</c:v>
                </c:pt>
                <c:pt idx="1">
                  <c:v>0.34</c:v>
                </c:pt>
                <c:pt idx="2">
                  <c:v>0.33000000000000024</c:v>
                </c:pt>
                <c:pt idx="3">
                  <c:v>0.33000000000000024</c:v>
                </c:pt>
              </c:numCache>
            </c:numRef>
          </c:val>
        </c:ser>
        <c:dLbls>
          <c:showVal val="1"/>
        </c:dLbls>
        <c:marker val="1"/>
        <c:axId val="181019392"/>
        <c:axId val="181021312"/>
      </c:lineChart>
      <c:catAx>
        <c:axId val="181019392"/>
        <c:scaling>
          <c:orientation val="minMax"/>
        </c:scaling>
        <c:axPos val="b"/>
        <c:tickLblPos val="nextTo"/>
        <c:txPr>
          <a:bodyPr/>
          <a:lstStyle/>
          <a:p>
            <a:pPr>
              <a:defRPr b="1">
                <a:latin typeface="Times New Roman" pitchFamily="18" charset="0"/>
                <a:cs typeface="Times New Roman" pitchFamily="18" charset="0"/>
              </a:defRPr>
            </a:pPr>
            <a:endParaRPr lang="en-US"/>
          </a:p>
        </c:txPr>
        <c:crossAx val="181021312"/>
        <c:crosses val="autoZero"/>
        <c:auto val="1"/>
        <c:lblAlgn val="ctr"/>
        <c:lblOffset val="100"/>
      </c:catAx>
      <c:valAx>
        <c:axId val="181021312"/>
        <c:scaling>
          <c:orientation val="minMax"/>
          <c:max val="0.39000000000000046"/>
          <c:min val="0.26"/>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TSH (mIU/L)</a:t>
                </a:r>
              </a:p>
            </c:rich>
          </c:tx>
        </c:title>
        <c:numFmt formatCode="General" sourceLinked="1"/>
        <c:tickLblPos val="nextTo"/>
        <c:txPr>
          <a:bodyPr/>
          <a:lstStyle/>
          <a:p>
            <a:pPr>
              <a:defRPr b="1">
                <a:latin typeface="Times New Roman" pitchFamily="18" charset="0"/>
                <a:cs typeface="Times New Roman" pitchFamily="18" charset="0"/>
              </a:defRPr>
            </a:pPr>
            <a:endParaRPr lang="en-US"/>
          </a:p>
        </c:txPr>
        <c:crossAx val="1810193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1DB9D-6624-42CE-A6EA-DFF14B9B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6</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dc:creator>
  <cp:keywords/>
  <dc:description/>
  <cp:lastModifiedBy>acer</cp:lastModifiedBy>
  <cp:revision>1093</cp:revision>
  <dcterms:created xsi:type="dcterms:W3CDTF">2016-05-29T11:29:00Z</dcterms:created>
  <dcterms:modified xsi:type="dcterms:W3CDTF">2017-02-12T14:44:00Z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id="3Vy8Zc0g"/&gt;&lt;style id="http://www.zotero.org/styles/vancouver" locale="en-US" hasBibliography="1" bibliographyStyleHasBeenSet="1"/&gt;&lt;prefs&gt;&lt;pref name="fieldType" value="Bookmark"/&gt;&lt;pref name="st</vt:lpwstr>
  </property>
  <property fmtid="{D5CDD505-2E9C-101B-9397-08002B2CF9AE}" pid="3" name="ZOTERO_PREF_2">
    <vt:lpwstr>oreReferences" value="true"/&gt;&lt;pref name="automaticJournalAbbreviations" value="true"/&gt;&lt;pref name="noteType" value=""/&gt;&lt;/prefs&gt;&lt;/data&gt;</vt:lpwstr>
  </property>
  <property fmtid="{D5CDD505-2E9C-101B-9397-08002B2CF9AE}" pid="4" name="ZOTERO_BREF_b8964GcAEmbg_1">
    <vt:lpwstr>ZOTERO_BIBL {"custom":[]} CSL_BIBLIOGRAPHY</vt:lpwstr>
  </property>
  <property fmtid="{D5CDD505-2E9C-101B-9397-08002B2CF9AE}" pid="5" name="ZOTERO_BREF_hb4PZPu8rySa_1">
    <vt:lpwstr>ZOTERO_ITEM CSL_CITATION {"citationID":"vVVbQgZ5","properties":{"formattedCitation":"(1)","plainCitation":"(1)"},"citationItems":[{"id":12,"uris":["http://zotero.org/users/local/hUD7tbWc/items/7TH6SM3S"],"uri":["http://zotero.org/users/local/hUD7tbWc/item</vt:lpwstr>
  </property>
  <property fmtid="{D5CDD505-2E9C-101B-9397-08002B2CF9AE}" pid="6" name="ZOTERO_BREF_hb4PZPu8rySa_2">
    <vt:lpwstr>s/7TH6SM3S"],"itemData":{"id":12,"type":"article-journal","title":"A robust approach to reference interval estimation and evaluation","container-title":"Clinical Chemistry","page":"622-631","volume":"44","issue":"3","source":"PubMed","abstract":"We propos</vt:lpwstr>
  </property>
  <property fmtid="{D5CDD505-2E9C-101B-9397-08002B2CF9AE}" pid="7" name="ZOTERO_BREF_hb4PZPu8rySa_3">
    <vt:lpwstr>e a new methodology for the estimation of reference intervals for data sets with small numbers of observations or for those with substantial numbers of outliers. We propose a prediction interval that uses robust estimates of location and scale. The SAS so</vt:lpwstr>
  </property>
  <property fmtid="{D5CDD505-2E9C-101B-9397-08002B2CF9AE}" pid="8" name="ZOTERO_BREF_hb4PZPu8rySa_4">
    <vt:lpwstr>ftware can be readily modified to do these calculations. We compared four reference interval procedures (nonparametric, transformed, robust with a nonparametric lower limit, and transformed robust) for sample sizes of 20, 40, 60, 80, 100, and 120 from chi</vt:lpwstr>
  </property>
  <property fmtid="{D5CDD505-2E9C-101B-9397-08002B2CF9AE}" pid="9" name="ZOTERO_BREF_hb4PZPu8rySa_5">
    <vt:lpwstr> 2 distributions of 1, 4, 7, and 10 df. chi 2 distributions were chosen because they simulate the skewness of distributions often found in clinical chemistry populations. We used the root mean square error as the measure of performance and used computer s</vt:lpwstr>
  </property>
  <property fmtid="{D5CDD505-2E9C-101B-9397-08002B2CF9AE}" pid="10" name="ZOTERO_BREF_hb4PZPu8rySa_6">
    <vt:lpwstr>imulation to calculate this measure. The robust estimator showed the best performance for small sample sizes. As the sample size increased, the performance values converged. The robust method for calculating upper reference interval values yields reasonab</vt:lpwstr>
  </property>
  <property fmtid="{D5CDD505-2E9C-101B-9397-08002B2CF9AE}" pid="11" name="ZOTERO_BREF_hb4PZPu8rySa_7">
    <vt:lpwstr>le results. In two examples using real data for haptoglobin and glucose, the robust estimator provides slightly smaller upper reference limits than the other procedures. Lastly, the robust estimator was compared with the other procedures in a population w</vt:lpwstr>
  </property>
  <property fmtid="{D5CDD505-2E9C-101B-9397-08002B2CF9AE}" pid="12" name="ZOTERO_BREF_hb4PZPu8rySa_8">
    <vt:lpwstr>here 5% of the values were multiplied by a factor of 5. The reference intervals were calculated with and without outlier detection. In this case, the robust approach consistently yielded upper reference interval values that were closer to those of the tru</vt:lpwstr>
  </property>
  <property fmtid="{D5CDD505-2E9C-101B-9397-08002B2CF9AE}" pid="13" name="ZOTERO_BREF_hb4PZPu8rySa_9">
    <vt:lpwstr>e underlying distributions. We propose that robust statistical analysis can be of great use for determinations of reference intervals from limited or possibly unreliable data.","ISSN":"0009-9147","note":"PMID: 9510871","journalAbbreviation":"Clin. Chem.",</vt:lpwstr>
  </property>
  <property fmtid="{D5CDD505-2E9C-101B-9397-08002B2CF9AE}" pid="14" name="ZOTERO_BREF_hb4PZPu8rySa_10">
    <vt:lpwstr>"language":"eng","author":[{"family":"Horn","given":"P. S."},{"family":"Pesce","given":"A. J."},{"family":"Copeland","given":"B. E."}],"issued":{"date-parts":[["1998",3]]},"PMID":"9510871"}}],"schema":"https://github.com/citation-style-language/schema/raw</vt:lpwstr>
  </property>
  <property fmtid="{D5CDD505-2E9C-101B-9397-08002B2CF9AE}" pid="15" name="ZOTERO_BREF_hb4PZPu8rySa_11">
    <vt:lpwstr>/master/csl-citation.json"}</vt:lpwstr>
  </property>
  <property fmtid="{D5CDD505-2E9C-101B-9397-08002B2CF9AE}" pid="16" name="ZOTERO_BREF_JP9k9GDzs105_1">
    <vt:lpwstr>ZOTERO_BIBL {"custom":[]} CSL_BIBLIOGRAPHY</vt:lpwstr>
  </property>
  <property fmtid="{D5CDD505-2E9C-101B-9397-08002B2CF9AE}" pid="17" name="ZOTERO_BREF_mzy6mz7wBQ4N_1">
    <vt:lpwstr>ZOTERO_ITEM CSL_CITATION {"citationID":"PFNJ7POr","properties":{"formattedCitation":"(2)","plainCitation":"(2)"},"citationItems":[{"id":54,"uris":["http://zotero.org/users/local/hUD7tbWc/items/K99GBN7D"],"uri":["http://zotero.org/users/local/hUD7tbWc/item</vt:lpwstr>
  </property>
  <property fmtid="{D5CDD505-2E9C-101B-9397-08002B2CF9AE}" pid="18" name="ZOTERO_BREF_mzy6mz7wBQ4N_2">
    <vt:lpwstr>s/K99GBN7D"],"itemData":{"id":54,"type":"article-journal","title":"Age-specific TSH reference ranges have minimal impact on the diagnosis of thyroid dysfunction","container-title":"Clinical Endocrinology","page":"773-779","volume":"77","issue":"5","source</vt:lpwstr>
  </property>
  <property fmtid="{D5CDD505-2E9C-101B-9397-08002B2CF9AE}" pid="19" name="ZOTERO_BREF_mzy6mz7wBQ4N_3">
    <vt:lpwstr>":"CrossRef","DOI":"10.1111/j.1365-2265.2012.04463.x","ISSN":"03000664","language":"en","author":[{"family":"Kahapola-Arachchige","given":"Kalani M."},{"family":"Hadlow","given":"Narelle"},{"family":"Wardrop","given":"Robert"},{"family":"Lim","given":"Ee </vt:lpwstr>
  </property>
  <property fmtid="{D5CDD505-2E9C-101B-9397-08002B2CF9AE}" pid="20" name="ZOTERO_BREF_mzy6mz7wBQ4N_4">
    <vt:lpwstr>M."},{"family":"Walsh","given":"John P."}],"issued":{"date-parts":[["2012",11]]}}}],"schema":"https://github.com/citation-style-language/schema/raw/master/csl-citation.json"}</vt:lpwstr>
  </property>
</Properties>
</file>