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AAB" w:rsidRDefault="00C53AAB" w:rsidP="00C53AAB">
      <w:pPr>
        <w:keepNext/>
      </w:pPr>
      <w:r>
        <w:rPr>
          <w:noProof/>
          <w:lang w:eastAsia="en-IN"/>
        </w:rPr>
        <w:drawing>
          <wp:inline distT="0" distB="0" distL="0" distR="0" wp14:anchorId="29ED7206" wp14:editId="153C0D66">
            <wp:extent cx="5486400" cy="32004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848A7" w:rsidRDefault="00C53AAB" w:rsidP="00C53AAB">
      <w:pPr>
        <w:pStyle w:val="Caption"/>
      </w:pPr>
      <w:proofErr w:type="gramStart"/>
      <w:r>
        <w:t xml:space="preserve">Figure </w:t>
      </w:r>
      <w:proofErr w:type="gramEnd"/>
      <w:r>
        <w:fldChar w:fldCharType="begin"/>
      </w:r>
      <w:r>
        <w:instrText xml:space="preserve"> SEQ Figure \* ARABIC </w:instrText>
      </w:r>
      <w:r>
        <w:fldChar w:fldCharType="separate"/>
      </w:r>
      <w:r w:rsidR="004B7B24">
        <w:rPr>
          <w:noProof/>
        </w:rPr>
        <w:t>1</w:t>
      </w:r>
      <w:r>
        <w:fldChar w:fldCharType="end"/>
      </w:r>
      <w:proofErr w:type="gramStart"/>
      <w:r>
        <w:t>.</w:t>
      </w:r>
      <w:proofErr w:type="gramEnd"/>
      <w:r>
        <w:t xml:space="preserve"> Symptom analysis in Dyspepsia</w:t>
      </w:r>
    </w:p>
    <w:p w:rsidR="00C53AAB" w:rsidRDefault="00C53AAB" w:rsidP="00C53AAB"/>
    <w:p w:rsidR="00B84878" w:rsidRDefault="00B84878" w:rsidP="00B84878">
      <w:pPr>
        <w:keepNext/>
      </w:pPr>
      <w:r>
        <w:rPr>
          <w:noProof/>
          <w:lang w:eastAsia="en-IN"/>
        </w:rPr>
        <w:drawing>
          <wp:inline distT="0" distB="0" distL="0" distR="0" wp14:anchorId="680D6265" wp14:editId="6484B865">
            <wp:extent cx="5486400" cy="320040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84878" w:rsidRDefault="00B84878" w:rsidP="00B84878">
      <w:pPr>
        <w:pStyle w:val="Caption"/>
      </w:pPr>
      <w:proofErr w:type="gramStart"/>
      <w:r>
        <w:t xml:space="preserve">Figure </w:t>
      </w:r>
      <w:proofErr w:type="gramEnd"/>
      <w:r>
        <w:fldChar w:fldCharType="begin"/>
      </w:r>
      <w:r>
        <w:instrText xml:space="preserve"> SEQ Figure \* ARABIC </w:instrText>
      </w:r>
      <w:r>
        <w:fldChar w:fldCharType="separate"/>
      </w:r>
      <w:r w:rsidR="004B7B24">
        <w:rPr>
          <w:noProof/>
        </w:rPr>
        <w:t>2</w:t>
      </w:r>
      <w:r>
        <w:fldChar w:fldCharType="end"/>
      </w:r>
      <w:proofErr w:type="gramStart"/>
      <w:r>
        <w:t>.</w:t>
      </w:r>
      <w:proofErr w:type="gramEnd"/>
      <w:r>
        <w:t xml:space="preserve"> Endoscopic findings in Dyspepsia</w:t>
      </w:r>
    </w:p>
    <w:p w:rsidR="00B84878" w:rsidRDefault="00B84878" w:rsidP="00B84878"/>
    <w:p w:rsidR="004B7B24" w:rsidRDefault="004B7B24" w:rsidP="004B7B24">
      <w:pPr>
        <w:keepNext/>
      </w:pPr>
      <w:bookmarkStart w:id="0" w:name="_GoBack"/>
      <w:r>
        <w:rPr>
          <w:noProof/>
          <w:lang w:eastAsia="en-IN"/>
        </w:rPr>
        <w:lastRenderedPageBreak/>
        <w:drawing>
          <wp:inline distT="0" distB="0" distL="0" distR="0" wp14:anchorId="34D9983F" wp14:editId="1AB288F3">
            <wp:extent cx="5486400" cy="3200400"/>
            <wp:effectExtent l="0" t="0" r="19050" b="190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:rsidR="00B84878" w:rsidRDefault="004B7B24" w:rsidP="004B7B24">
      <w:pPr>
        <w:pStyle w:val="Caption"/>
      </w:pPr>
      <w:proofErr w:type="gramStart"/>
      <w:r>
        <w:t xml:space="preserve">Figure </w:t>
      </w:r>
      <w:proofErr w:type="gramEnd"/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proofErr w:type="gramStart"/>
      <w:r>
        <w:t>.</w:t>
      </w:r>
      <w:proofErr w:type="gramEnd"/>
      <w:r>
        <w:t xml:space="preserve"> Symptoms in patients with normal endoscopy</w:t>
      </w:r>
    </w:p>
    <w:p w:rsidR="004B7B24" w:rsidRPr="004B7B24" w:rsidRDefault="004B7B24" w:rsidP="004B7B24"/>
    <w:p w:rsidR="004B7B24" w:rsidRDefault="004B7B24" w:rsidP="004B7B24">
      <w:pPr>
        <w:keepNext/>
      </w:pPr>
      <w:r>
        <w:rPr>
          <w:noProof/>
          <w:lang w:eastAsia="en-IN"/>
        </w:rPr>
        <w:drawing>
          <wp:inline distT="0" distB="0" distL="0" distR="0" wp14:anchorId="55CA10DD" wp14:editId="43F5BF6F">
            <wp:extent cx="5486400" cy="3200400"/>
            <wp:effectExtent l="0" t="0" r="19050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7B24" w:rsidRPr="004B7B24" w:rsidRDefault="004B7B24" w:rsidP="004B7B24">
      <w:pPr>
        <w:pStyle w:val="Caption"/>
      </w:pPr>
      <w:proofErr w:type="gramStart"/>
      <w:r>
        <w:t xml:space="preserve">Figure </w:t>
      </w:r>
      <w:fldSimple w:instr=" SEQ Figure \* ARABIC ">
        <w:r>
          <w:rPr>
            <w:noProof/>
          </w:rPr>
          <w:t>4</w:t>
        </w:r>
      </w:fldSimple>
      <w:r>
        <w:t>.</w:t>
      </w:r>
      <w:proofErr w:type="gramEnd"/>
      <w:r>
        <w:t xml:space="preserve"> </w:t>
      </w:r>
      <w:proofErr w:type="spellStart"/>
      <w:r>
        <w:t>H.pylori</w:t>
      </w:r>
      <w:proofErr w:type="spellEnd"/>
      <w:r>
        <w:t xml:space="preserve"> and endoscopic findings</w:t>
      </w:r>
    </w:p>
    <w:sectPr w:rsidR="004B7B24" w:rsidRPr="004B7B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AAB"/>
    <w:rsid w:val="004848A7"/>
    <w:rsid w:val="004B7B24"/>
    <w:rsid w:val="00B84878"/>
    <w:rsid w:val="00C53AAB"/>
    <w:rsid w:val="00F1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AA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53AA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AA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53AA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Sheet1!$A$2:$A$9</c:f>
              <c:strCache>
                <c:ptCount val="8"/>
                <c:pt idx="0">
                  <c:v>EPIGASTRIC BURNING</c:v>
                </c:pt>
                <c:pt idx="1">
                  <c:v>EPIGASTRIC PAIN</c:v>
                </c:pt>
                <c:pt idx="2">
                  <c:v>NAUSEA</c:v>
                </c:pt>
                <c:pt idx="3">
                  <c:v>VOMITING</c:v>
                </c:pt>
                <c:pt idx="4">
                  <c:v>BELCHING</c:v>
                </c:pt>
                <c:pt idx="5">
                  <c:v>POSTPRANDIAL FULLNESS</c:v>
                </c:pt>
                <c:pt idx="6">
                  <c:v>EARLY SATIATION</c:v>
                </c:pt>
                <c:pt idx="7">
                  <c:v>HEARTBURN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97</c:v>
                </c:pt>
                <c:pt idx="1">
                  <c:v>92</c:v>
                </c:pt>
                <c:pt idx="2">
                  <c:v>26</c:v>
                </c:pt>
                <c:pt idx="3">
                  <c:v>1</c:v>
                </c:pt>
                <c:pt idx="4">
                  <c:v>26</c:v>
                </c:pt>
                <c:pt idx="5">
                  <c:v>25</c:v>
                </c:pt>
                <c:pt idx="6">
                  <c:v>25</c:v>
                </c:pt>
                <c:pt idx="7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8035456"/>
        <c:axId val="120714368"/>
      </c:barChart>
      <c:catAx>
        <c:axId val="108035456"/>
        <c:scaling>
          <c:orientation val="minMax"/>
        </c:scaling>
        <c:delete val="0"/>
        <c:axPos val="b"/>
        <c:majorTickMark val="out"/>
        <c:minorTickMark val="none"/>
        <c:tickLblPos val="nextTo"/>
        <c:crossAx val="120714368"/>
        <c:crosses val="autoZero"/>
        <c:auto val="1"/>
        <c:lblAlgn val="ctr"/>
        <c:lblOffset val="100"/>
        <c:noMultiLvlLbl val="0"/>
      </c:catAx>
      <c:valAx>
        <c:axId val="1207143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080354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Sheet1!$A$2:$A$12</c:f>
              <c:strCache>
                <c:ptCount val="11"/>
                <c:pt idx="0">
                  <c:v>EROSIVE GASTRITIS</c:v>
                </c:pt>
                <c:pt idx="1">
                  <c:v>ERYTHEMATOUS GASTRITIS</c:v>
                </c:pt>
                <c:pt idx="2">
                  <c:v>GASTRIC ULCER</c:v>
                </c:pt>
                <c:pt idx="3">
                  <c:v>EROSIVE DUODENITIS</c:v>
                </c:pt>
                <c:pt idx="4">
                  <c:v>ERYTHEMATOUS DUODENITIS</c:v>
                </c:pt>
                <c:pt idx="5">
                  <c:v>DUODENAL ULCER</c:v>
                </c:pt>
                <c:pt idx="6">
                  <c:v>REFLUX OESOPHAGITIS</c:v>
                </c:pt>
                <c:pt idx="7">
                  <c:v>OESOPHAGEAL VARICES</c:v>
                </c:pt>
                <c:pt idx="8">
                  <c:v>OESOPHAGEAL CANDIDIASIS</c:v>
                </c:pt>
                <c:pt idx="9">
                  <c:v>HIATUS HERNIA</c:v>
                </c:pt>
                <c:pt idx="10">
                  <c:v>POLYPS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21</c:v>
                </c:pt>
                <c:pt idx="1">
                  <c:v>42</c:v>
                </c:pt>
                <c:pt idx="2">
                  <c:v>4</c:v>
                </c:pt>
                <c:pt idx="3">
                  <c:v>15</c:v>
                </c:pt>
                <c:pt idx="4">
                  <c:v>4</c:v>
                </c:pt>
                <c:pt idx="5">
                  <c:v>18</c:v>
                </c:pt>
                <c:pt idx="6">
                  <c:v>10</c:v>
                </c:pt>
                <c:pt idx="7">
                  <c:v>4</c:v>
                </c:pt>
                <c:pt idx="8">
                  <c:v>11</c:v>
                </c:pt>
                <c:pt idx="9">
                  <c:v>4</c:v>
                </c:pt>
                <c:pt idx="10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0374016"/>
        <c:axId val="120375552"/>
      </c:barChart>
      <c:catAx>
        <c:axId val="120374016"/>
        <c:scaling>
          <c:orientation val="minMax"/>
        </c:scaling>
        <c:delete val="0"/>
        <c:axPos val="b"/>
        <c:majorTickMark val="out"/>
        <c:minorTickMark val="none"/>
        <c:tickLblPos val="nextTo"/>
        <c:crossAx val="120375552"/>
        <c:crosses val="autoZero"/>
        <c:auto val="1"/>
        <c:lblAlgn val="ctr"/>
        <c:lblOffset val="100"/>
        <c:noMultiLvlLbl val="0"/>
      </c:catAx>
      <c:valAx>
        <c:axId val="1203755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03740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Sheet1!$A$2:$A$7</c:f>
              <c:strCache>
                <c:ptCount val="6"/>
                <c:pt idx="0">
                  <c:v>EPIGASTRIC PAIN</c:v>
                </c:pt>
                <c:pt idx="1">
                  <c:v>EPIGASTRIC BURNING</c:v>
                </c:pt>
                <c:pt idx="2">
                  <c:v>POSTPRANDIAL FULLNESS</c:v>
                </c:pt>
                <c:pt idx="3">
                  <c:v>EARLY SATIATION</c:v>
                </c:pt>
                <c:pt idx="4">
                  <c:v>BELCHING</c:v>
                </c:pt>
                <c:pt idx="5">
                  <c:v>NAUSEA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15</c:v>
                </c:pt>
                <c:pt idx="1">
                  <c:v>17</c:v>
                </c:pt>
                <c:pt idx="2">
                  <c:v>8</c:v>
                </c:pt>
                <c:pt idx="3">
                  <c:v>8</c:v>
                </c:pt>
                <c:pt idx="4">
                  <c:v>8</c:v>
                </c:pt>
                <c:pt idx="5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196992"/>
        <c:axId val="152198528"/>
      </c:barChart>
      <c:catAx>
        <c:axId val="152196992"/>
        <c:scaling>
          <c:orientation val="minMax"/>
        </c:scaling>
        <c:delete val="0"/>
        <c:axPos val="b"/>
        <c:majorTickMark val="out"/>
        <c:minorTickMark val="none"/>
        <c:tickLblPos val="nextTo"/>
        <c:crossAx val="152198528"/>
        <c:crosses val="autoZero"/>
        <c:auto val="1"/>
        <c:lblAlgn val="ctr"/>
        <c:lblOffset val="100"/>
        <c:noMultiLvlLbl val="0"/>
      </c:catAx>
      <c:valAx>
        <c:axId val="152198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521969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Sheet1!$A$2:$A$10</c:f>
              <c:strCache>
                <c:ptCount val="9"/>
                <c:pt idx="0">
                  <c:v>EROSIVE GASTRITIS</c:v>
                </c:pt>
                <c:pt idx="1">
                  <c:v>ERYTHEMATOUS GASTRITIS</c:v>
                </c:pt>
                <c:pt idx="2">
                  <c:v>GASTRIC ULCER</c:v>
                </c:pt>
                <c:pt idx="3">
                  <c:v>EROSIVE DUODENITIS</c:v>
                </c:pt>
                <c:pt idx="4">
                  <c:v>DUODENAL ULCER</c:v>
                </c:pt>
                <c:pt idx="5">
                  <c:v>HIATUS HERNIA</c:v>
                </c:pt>
                <c:pt idx="6">
                  <c:v>REFLUX OESOPHAGITIS</c:v>
                </c:pt>
                <c:pt idx="7">
                  <c:v>OESOPHAGEAL CANDIDIASIS</c:v>
                </c:pt>
                <c:pt idx="8">
                  <c:v>OESOPHAGEAL VARICES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7</c:v>
                </c:pt>
                <c:pt idx="1">
                  <c:v>21</c:v>
                </c:pt>
                <c:pt idx="2">
                  <c:v>3</c:v>
                </c:pt>
                <c:pt idx="3">
                  <c:v>7</c:v>
                </c:pt>
                <c:pt idx="4">
                  <c:v>9</c:v>
                </c:pt>
                <c:pt idx="5">
                  <c:v>1</c:v>
                </c:pt>
                <c:pt idx="6">
                  <c:v>4</c:v>
                </c:pt>
                <c:pt idx="7">
                  <c:v>4</c:v>
                </c:pt>
                <c:pt idx="8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0855168"/>
        <c:axId val="120873344"/>
      </c:barChart>
      <c:catAx>
        <c:axId val="120855168"/>
        <c:scaling>
          <c:orientation val="minMax"/>
        </c:scaling>
        <c:delete val="0"/>
        <c:axPos val="b"/>
        <c:majorTickMark val="out"/>
        <c:minorTickMark val="none"/>
        <c:tickLblPos val="nextTo"/>
        <c:crossAx val="120873344"/>
        <c:crosses val="autoZero"/>
        <c:auto val="1"/>
        <c:lblAlgn val="ctr"/>
        <c:lblOffset val="100"/>
        <c:noMultiLvlLbl val="0"/>
      </c:catAx>
      <c:valAx>
        <c:axId val="1208733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08551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2016-08-19T18:52:00Z</dcterms:created>
  <dcterms:modified xsi:type="dcterms:W3CDTF">2016-08-20T06:40:00Z</dcterms:modified>
</cp:coreProperties>
</file>