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7E7" w:rsidRPr="00FF1DE5" w:rsidRDefault="009064FD" w:rsidP="00BA2AD1">
      <w:pPr>
        <w:spacing w:line="240" w:lineRule="auto"/>
        <w:rPr>
          <w:rFonts w:ascii="Times New Roman" w:hAnsi="Times New Roman" w:cs="Times New Roman"/>
          <w:bCs/>
          <w:i/>
          <w:iCs/>
          <w:color w:val="0D0D0D" w:themeColor="text1" w:themeTint="F2"/>
          <w:sz w:val="24"/>
          <w:szCs w:val="24"/>
        </w:rPr>
      </w:pPr>
      <w:r w:rsidRPr="009064FD">
        <w:rPr>
          <w:rFonts w:ascii="Times New Roman" w:hAnsi="Times New Roman" w:cs="Times New Roman"/>
          <w:bCs/>
          <w:i/>
          <w:iCs/>
          <w:noProof/>
          <w:color w:val="0D0D0D" w:themeColor="text1" w:themeTint="F2"/>
          <w:sz w:val="24"/>
          <w:szCs w:val="24"/>
        </w:rPr>
        <w:pict>
          <v:shapetype id="_x0000_t32" coordsize="21600,21600" o:spt="32" o:oned="t" path="m,l21600,21600e" filled="f">
            <v:path arrowok="t" fillok="f" o:connecttype="none"/>
            <o:lock v:ext="edit" shapetype="t"/>
          </v:shapetype>
          <v:shape id="_x0000_s1026" type="#_x0000_t32" style="position:absolute;margin-left:0;margin-top:13.7pt;width:469.55pt;height:.75pt;z-index:251658240" o:connectortype="straight"/>
        </w:pict>
      </w:r>
      <w:r w:rsidR="001237E7" w:rsidRPr="00FF1DE5">
        <w:rPr>
          <w:rFonts w:ascii="Times New Roman" w:hAnsi="Times New Roman" w:cs="Times New Roman"/>
          <w:bCs/>
          <w:i/>
          <w:iCs/>
          <w:color w:val="0D0D0D" w:themeColor="text1" w:themeTint="F2"/>
          <w:sz w:val="24"/>
          <w:szCs w:val="24"/>
        </w:rPr>
        <w:t>ABSTRACT</w:t>
      </w:r>
    </w:p>
    <w:p w:rsidR="003C7238" w:rsidRPr="00FF1DE5" w:rsidRDefault="00891F0D" w:rsidP="0097114F">
      <w:pPr>
        <w:spacing w:before="240" w:line="480" w:lineRule="auto"/>
        <w:jc w:val="both"/>
        <w:rPr>
          <w:rFonts w:asciiTheme="majorBidi" w:hAnsiTheme="majorBidi" w:cstheme="majorBidi"/>
          <w:color w:val="0D0D0D" w:themeColor="text1" w:themeTint="F2"/>
          <w:sz w:val="24"/>
          <w:szCs w:val="24"/>
        </w:rPr>
      </w:pPr>
      <w:r w:rsidRPr="00FF1DE5">
        <w:rPr>
          <w:rFonts w:asciiTheme="majorBidi" w:hAnsiTheme="majorBidi" w:cstheme="majorBidi"/>
          <w:bCs/>
          <w:i/>
          <w:iCs/>
          <w:color w:val="0D0D0D" w:themeColor="text1" w:themeTint="F2"/>
          <w:sz w:val="24"/>
          <w:szCs w:val="24"/>
        </w:rPr>
        <w:t>Introduction</w:t>
      </w:r>
      <w:r w:rsidR="005B16AF" w:rsidRPr="00FF1DE5">
        <w:rPr>
          <w:rFonts w:asciiTheme="majorBidi" w:hAnsiTheme="majorBidi" w:cstheme="majorBidi"/>
          <w:bCs/>
          <w:i/>
          <w:iCs/>
          <w:color w:val="0D0D0D" w:themeColor="text1" w:themeTint="F2"/>
          <w:sz w:val="24"/>
          <w:szCs w:val="24"/>
        </w:rPr>
        <w:t>:</w:t>
      </w:r>
      <w:r w:rsidR="00E94A02" w:rsidRPr="00FF1DE5">
        <w:rPr>
          <w:rFonts w:asciiTheme="majorBidi" w:hAnsiTheme="majorBidi" w:cstheme="majorBidi"/>
          <w:color w:val="0D0D0D" w:themeColor="text1" w:themeTint="F2"/>
          <w:sz w:val="24"/>
          <w:szCs w:val="24"/>
        </w:rPr>
        <w:t xml:space="preserve"> </w:t>
      </w:r>
      <w:r w:rsidRPr="00FF1DE5">
        <w:rPr>
          <w:rFonts w:asciiTheme="majorBidi" w:hAnsiTheme="majorBidi" w:cstheme="majorBidi"/>
          <w:color w:val="0D0D0D" w:themeColor="text1" w:themeTint="F2"/>
          <w:sz w:val="24"/>
          <w:szCs w:val="24"/>
        </w:rPr>
        <w:t xml:space="preserve">Though anxiety is associated with increase in heart rate and cardiac output, there is conflicting reports regarding its effect on </w:t>
      </w:r>
      <w:proofErr w:type="spellStart"/>
      <w:r w:rsidRPr="00FF1DE5">
        <w:rPr>
          <w:rFonts w:asciiTheme="majorBidi" w:hAnsiTheme="majorBidi" w:cstheme="majorBidi"/>
          <w:color w:val="0D0D0D" w:themeColor="text1" w:themeTint="F2"/>
          <w:sz w:val="24"/>
          <w:szCs w:val="24"/>
        </w:rPr>
        <w:t>propofol</w:t>
      </w:r>
      <w:proofErr w:type="spellEnd"/>
      <w:r w:rsidRPr="00FF1DE5">
        <w:rPr>
          <w:rFonts w:asciiTheme="majorBidi" w:hAnsiTheme="majorBidi" w:cstheme="majorBidi"/>
          <w:color w:val="0D0D0D" w:themeColor="text1" w:themeTint="F2"/>
          <w:sz w:val="24"/>
          <w:szCs w:val="24"/>
        </w:rPr>
        <w:t xml:space="preserve"> induction dose. In this study we have tried to delineate </w:t>
      </w:r>
      <w:r w:rsidRPr="00FF1DE5">
        <w:rPr>
          <w:rFonts w:asciiTheme="majorBidi" w:hAnsiTheme="majorBidi" w:cstheme="majorBidi"/>
          <w:sz w:val="24"/>
          <w:szCs w:val="24"/>
        </w:rPr>
        <w:t xml:space="preserve">the correlation between pre-anesthetic anxiety and heart rate on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requirement for induction.</w:t>
      </w:r>
    </w:p>
    <w:p w:rsidR="00891F0D" w:rsidRPr="00FF1DE5" w:rsidRDefault="00891F0D" w:rsidP="0097114F">
      <w:pPr>
        <w:spacing w:before="240" w:line="480" w:lineRule="auto"/>
        <w:jc w:val="both"/>
        <w:rPr>
          <w:rFonts w:asciiTheme="majorBidi" w:hAnsiTheme="majorBidi" w:cstheme="majorBidi"/>
          <w:sz w:val="24"/>
          <w:szCs w:val="24"/>
        </w:rPr>
      </w:pPr>
      <w:r w:rsidRPr="00FF1DE5">
        <w:rPr>
          <w:rFonts w:asciiTheme="majorBidi" w:hAnsiTheme="majorBidi" w:cstheme="majorBidi"/>
          <w:bCs/>
          <w:i/>
          <w:iCs/>
          <w:color w:val="0D0D0D" w:themeColor="text1" w:themeTint="F2"/>
          <w:sz w:val="24"/>
          <w:szCs w:val="24"/>
        </w:rPr>
        <w:t>Materials and methods</w:t>
      </w:r>
      <w:r w:rsidR="004F3D9F" w:rsidRPr="00FF1DE5">
        <w:rPr>
          <w:rFonts w:asciiTheme="majorBidi" w:hAnsiTheme="majorBidi" w:cstheme="majorBidi"/>
          <w:bCs/>
          <w:i/>
          <w:iCs/>
          <w:color w:val="0D0D0D" w:themeColor="text1" w:themeTint="F2"/>
          <w:sz w:val="24"/>
          <w:szCs w:val="24"/>
        </w:rPr>
        <w:t>:</w:t>
      </w:r>
      <w:r w:rsidR="003C7238" w:rsidRPr="00FF1DE5">
        <w:rPr>
          <w:rFonts w:asciiTheme="majorBidi" w:hAnsiTheme="majorBidi" w:cstheme="majorBidi"/>
          <w:bCs/>
          <w:iCs/>
          <w:color w:val="0D0D0D" w:themeColor="text1" w:themeTint="F2"/>
          <w:sz w:val="24"/>
          <w:szCs w:val="24"/>
        </w:rPr>
        <w:t xml:space="preserve"> </w:t>
      </w:r>
      <w:r w:rsidRPr="00FF1DE5">
        <w:rPr>
          <w:rStyle w:val="SubtleEmphasis"/>
          <w:rFonts w:asciiTheme="majorBidi" w:hAnsiTheme="majorBidi" w:cstheme="majorBidi"/>
          <w:i w:val="0"/>
          <w:iCs w:val="0"/>
          <w:color w:val="0D0D0D" w:themeColor="text1" w:themeTint="F2"/>
          <w:sz w:val="24"/>
          <w:szCs w:val="24"/>
        </w:rPr>
        <w:t xml:space="preserve">Total </w:t>
      </w:r>
      <w:r w:rsidRPr="00FF1DE5">
        <w:rPr>
          <w:rFonts w:asciiTheme="majorBidi" w:hAnsiTheme="majorBidi" w:cstheme="majorBidi"/>
          <w:color w:val="0D0D0D" w:themeColor="text1" w:themeTint="F2"/>
          <w:sz w:val="24"/>
          <w:szCs w:val="24"/>
        </w:rPr>
        <w:t>42 patients of ASA</w:t>
      </w:r>
      <w:r w:rsidRPr="00FF1DE5">
        <w:rPr>
          <w:rFonts w:asciiTheme="majorBidi" w:hAnsiTheme="majorBidi" w:cstheme="majorBidi"/>
          <w:sz w:val="24"/>
          <w:szCs w:val="24"/>
        </w:rPr>
        <w:t xml:space="preserve"> (</w:t>
      </w:r>
      <w:hyperlink r:id="rId8" w:tooltip="American Society of Anesthesiologists" w:history="1">
        <w:r w:rsidRPr="00FF1DE5">
          <w:rPr>
            <w:rStyle w:val="Hyperlink"/>
            <w:rFonts w:asciiTheme="majorBidi" w:hAnsiTheme="majorBidi" w:cstheme="majorBidi"/>
            <w:color w:val="000000" w:themeColor="text1"/>
            <w:sz w:val="24"/>
            <w:szCs w:val="24"/>
            <w:u w:val="none"/>
            <w:shd w:val="clear" w:color="auto" w:fill="FFFFFF"/>
          </w:rPr>
          <w:t>American Society of Anesthesiologists</w:t>
        </w:r>
      </w:hyperlink>
      <w:r w:rsidRPr="00FF1DE5">
        <w:rPr>
          <w:rFonts w:asciiTheme="majorBidi" w:hAnsiTheme="majorBidi" w:cstheme="majorBidi"/>
          <w:color w:val="0D0D0D" w:themeColor="text1" w:themeTint="F2"/>
          <w:sz w:val="24"/>
          <w:szCs w:val="24"/>
        </w:rPr>
        <w:t xml:space="preserve">) physical status I and II, 13 male and 29 female, aged between 18 to 50 years and </w:t>
      </w:r>
      <w:r w:rsidRPr="00FF1DE5">
        <w:rPr>
          <w:rFonts w:asciiTheme="majorBidi" w:hAnsiTheme="majorBidi" w:cstheme="majorBidi"/>
          <w:sz w:val="24"/>
          <w:szCs w:val="24"/>
        </w:rPr>
        <w:t>scheduled for</w:t>
      </w:r>
      <w:r w:rsidRPr="00FF1DE5">
        <w:rPr>
          <w:rStyle w:val="SubtleEmphasis"/>
          <w:rFonts w:asciiTheme="majorBidi" w:hAnsiTheme="majorBidi" w:cstheme="majorBidi"/>
          <w:i w:val="0"/>
          <w:iCs w:val="0"/>
          <w:color w:val="auto"/>
          <w:sz w:val="24"/>
          <w:szCs w:val="24"/>
        </w:rPr>
        <w:t xml:space="preserve"> elective surgery under general anesthesia,</w:t>
      </w:r>
      <w:r w:rsidRPr="00FF1DE5">
        <w:rPr>
          <w:rFonts w:asciiTheme="majorBidi" w:hAnsiTheme="majorBidi" w:cstheme="majorBidi"/>
          <w:sz w:val="24"/>
          <w:szCs w:val="24"/>
        </w:rPr>
        <w:t xml:space="preserve"> were enrolled in this study. Trait anxiety in the waiting room and state anxiety both in the waiting room and operating room were assessed</w:t>
      </w:r>
      <w:r w:rsidR="00347AA5" w:rsidRPr="00FF1DE5">
        <w:rPr>
          <w:rFonts w:asciiTheme="majorBidi" w:hAnsiTheme="majorBidi" w:cstheme="majorBidi"/>
          <w:sz w:val="24"/>
          <w:szCs w:val="24"/>
        </w:rPr>
        <w:t xml:space="preserve"> using </w:t>
      </w:r>
      <w:proofErr w:type="spellStart"/>
      <w:r w:rsidR="00347AA5" w:rsidRPr="00FF1DE5">
        <w:rPr>
          <w:rFonts w:asciiTheme="majorBidi" w:hAnsiTheme="majorBidi" w:cstheme="majorBidi"/>
          <w:sz w:val="24"/>
          <w:szCs w:val="24"/>
        </w:rPr>
        <w:t>Spielberger’s</w:t>
      </w:r>
      <w:proofErr w:type="spellEnd"/>
      <w:r w:rsidR="00347AA5" w:rsidRPr="00FF1DE5">
        <w:rPr>
          <w:rFonts w:asciiTheme="majorBidi" w:hAnsiTheme="majorBidi" w:cstheme="majorBidi"/>
          <w:sz w:val="24"/>
          <w:szCs w:val="24"/>
        </w:rPr>
        <w:t xml:space="preserve"> revised State-Trait Anxiety Inventory (STAI) scale. After heart rate (HR) </w:t>
      </w:r>
      <w:proofErr w:type="gramStart"/>
      <w:r w:rsidR="00347AA5" w:rsidRPr="00FF1DE5">
        <w:rPr>
          <w:rFonts w:asciiTheme="majorBidi" w:hAnsiTheme="majorBidi" w:cstheme="majorBidi"/>
          <w:sz w:val="24"/>
          <w:szCs w:val="24"/>
        </w:rPr>
        <w:t>recording</w:t>
      </w:r>
      <w:proofErr w:type="gramEnd"/>
      <w:r w:rsidR="00347AA5" w:rsidRPr="00FF1DE5">
        <w:rPr>
          <w:rFonts w:asciiTheme="majorBidi" w:hAnsiTheme="majorBidi" w:cstheme="majorBidi"/>
          <w:sz w:val="24"/>
          <w:szCs w:val="24"/>
        </w:rPr>
        <w:t xml:space="preserve">, anesthesia was induced with 200 ml/hr 1% </w:t>
      </w:r>
      <w:proofErr w:type="spellStart"/>
      <w:r w:rsidR="00347AA5" w:rsidRPr="00FF1DE5">
        <w:rPr>
          <w:rFonts w:asciiTheme="majorBidi" w:hAnsiTheme="majorBidi" w:cstheme="majorBidi"/>
          <w:sz w:val="24"/>
          <w:szCs w:val="24"/>
        </w:rPr>
        <w:t>propofol</w:t>
      </w:r>
      <w:proofErr w:type="spellEnd"/>
      <w:r w:rsidR="00347AA5" w:rsidRPr="00FF1DE5">
        <w:rPr>
          <w:rFonts w:asciiTheme="majorBidi" w:hAnsiTheme="majorBidi" w:cstheme="majorBidi"/>
          <w:sz w:val="24"/>
          <w:szCs w:val="24"/>
        </w:rPr>
        <w:t xml:space="preserve"> infusion till loss of verbal contact.</w:t>
      </w:r>
    </w:p>
    <w:p w:rsidR="00347AA5" w:rsidRPr="00FF1DE5" w:rsidRDefault="004F6C83" w:rsidP="0097114F">
      <w:pPr>
        <w:pStyle w:val="BodyTextIndent"/>
        <w:tabs>
          <w:tab w:val="left" w:pos="0"/>
        </w:tabs>
        <w:spacing w:line="480" w:lineRule="auto"/>
        <w:ind w:left="0"/>
        <w:jc w:val="both"/>
        <w:rPr>
          <w:rFonts w:asciiTheme="majorBidi" w:hAnsiTheme="majorBidi" w:cstheme="majorBidi"/>
        </w:rPr>
      </w:pPr>
      <w:r w:rsidRPr="00FF1DE5">
        <w:rPr>
          <w:rFonts w:asciiTheme="majorBidi" w:hAnsiTheme="majorBidi" w:cstheme="majorBidi"/>
          <w:bCs/>
          <w:i/>
          <w:iCs/>
          <w:color w:val="0D0D0D" w:themeColor="text1" w:themeTint="F2"/>
        </w:rPr>
        <w:t>Result</w:t>
      </w:r>
      <w:r w:rsidR="00CC104A" w:rsidRPr="00FF1DE5">
        <w:rPr>
          <w:rFonts w:asciiTheme="majorBidi" w:hAnsiTheme="majorBidi" w:cstheme="majorBidi"/>
          <w:bCs/>
          <w:i/>
          <w:iCs/>
          <w:color w:val="0D0D0D" w:themeColor="text1" w:themeTint="F2"/>
        </w:rPr>
        <w:t>s</w:t>
      </w:r>
      <w:r w:rsidRPr="00FF1DE5">
        <w:rPr>
          <w:rFonts w:asciiTheme="majorBidi" w:hAnsiTheme="majorBidi" w:cstheme="majorBidi"/>
          <w:bCs/>
          <w:i/>
          <w:iCs/>
          <w:color w:val="0D0D0D" w:themeColor="text1" w:themeTint="F2"/>
        </w:rPr>
        <w:t>:</w:t>
      </w:r>
      <w:r w:rsidR="00A53315" w:rsidRPr="00FF1DE5">
        <w:rPr>
          <w:rFonts w:asciiTheme="majorBidi" w:hAnsiTheme="majorBidi" w:cstheme="majorBidi"/>
          <w:color w:val="0D0D0D" w:themeColor="text1" w:themeTint="F2"/>
        </w:rPr>
        <w:t xml:space="preserve"> </w:t>
      </w:r>
      <w:r w:rsidR="00347AA5" w:rsidRPr="00FF1DE5">
        <w:rPr>
          <w:rFonts w:asciiTheme="majorBidi" w:hAnsiTheme="majorBidi" w:cstheme="majorBidi"/>
        </w:rPr>
        <w:t xml:space="preserve">Pre-anesthetic trait anxiety and HR had strong positive correlation with </w:t>
      </w:r>
      <w:proofErr w:type="spellStart"/>
      <w:r w:rsidR="00347AA5" w:rsidRPr="00FF1DE5">
        <w:rPr>
          <w:rFonts w:asciiTheme="majorBidi" w:hAnsiTheme="majorBidi" w:cstheme="majorBidi"/>
        </w:rPr>
        <w:t>propofol</w:t>
      </w:r>
      <w:proofErr w:type="spellEnd"/>
      <w:r w:rsidR="00347AA5" w:rsidRPr="00FF1DE5">
        <w:rPr>
          <w:rFonts w:asciiTheme="majorBidi" w:hAnsiTheme="majorBidi" w:cstheme="majorBidi"/>
        </w:rPr>
        <w:t xml:space="preserve"> requirement (</w:t>
      </w:r>
      <w:r w:rsidR="00347AA5" w:rsidRPr="00FF1DE5">
        <w:rPr>
          <w:rFonts w:asciiTheme="majorBidi" w:hAnsiTheme="majorBidi" w:cstheme="majorBidi"/>
          <w:bCs/>
        </w:rPr>
        <w:t xml:space="preserve">ρ&gt;0.6, </w:t>
      </w:r>
      <w:r w:rsidR="00347AA5" w:rsidRPr="00FF1DE5">
        <w:rPr>
          <w:rFonts w:asciiTheme="majorBidi" w:hAnsiTheme="majorBidi" w:cstheme="majorBidi"/>
          <w:bCs/>
          <w:i/>
          <w:iCs/>
        </w:rPr>
        <w:t>p</w:t>
      </w:r>
      <w:r w:rsidR="00347AA5" w:rsidRPr="00FF1DE5">
        <w:rPr>
          <w:rFonts w:asciiTheme="majorBidi" w:hAnsiTheme="majorBidi" w:cstheme="majorBidi"/>
          <w:bCs/>
        </w:rPr>
        <w:t>&lt;0.05)</w:t>
      </w:r>
      <w:r w:rsidR="00347AA5" w:rsidRPr="00FF1DE5">
        <w:rPr>
          <w:rFonts w:asciiTheme="majorBidi" w:hAnsiTheme="majorBidi" w:cstheme="majorBidi"/>
        </w:rPr>
        <w:t xml:space="preserve"> while state anxiety had not. But pre-anesthetic state anxiety measured just before induction is strongly a</w:t>
      </w:r>
      <w:r w:rsidR="0097114F" w:rsidRPr="00FF1DE5">
        <w:rPr>
          <w:rFonts w:asciiTheme="majorBidi" w:hAnsiTheme="majorBidi" w:cstheme="majorBidi"/>
        </w:rPr>
        <w:t>ssociated with increase in HR (</w:t>
      </w:r>
      <w:r w:rsidR="0097114F" w:rsidRPr="00FF1DE5">
        <w:rPr>
          <w:rFonts w:asciiTheme="majorBidi" w:hAnsiTheme="majorBidi" w:cstheme="majorBidi"/>
          <w:bCs/>
        </w:rPr>
        <w:t xml:space="preserve">ρ&gt;0.6, </w:t>
      </w:r>
      <w:r w:rsidR="0097114F" w:rsidRPr="00FF1DE5">
        <w:rPr>
          <w:rFonts w:asciiTheme="majorBidi" w:hAnsiTheme="majorBidi" w:cstheme="majorBidi"/>
          <w:bCs/>
          <w:i/>
          <w:iCs/>
        </w:rPr>
        <w:t>p</w:t>
      </w:r>
      <w:r w:rsidR="0097114F" w:rsidRPr="00FF1DE5">
        <w:rPr>
          <w:rFonts w:asciiTheme="majorBidi" w:hAnsiTheme="majorBidi" w:cstheme="majorBidi"/>
          <w:bCs/>
        </w:rPr>
        <w:t>&lt;0.05)</w:t>
      </w:r>
      <w:r w:rsidR="00347AA5" w:rsidRPr="00FF1DE5">
        <w:rPr>
          <w:rFonts w:asciiTheme="majorBidi" w:hAnsiTheme="majorBidi" w:cstheme="majorBidi"/>
        </w:rPr>
        <w:t>.</w:t>
      </w:r>
    </w:p>
    <w:p w:rsidR="0097114F" w:rsidRPr="00FF1DE5" w:rsidRDefault="004F6C83" w:rsidP="0097114F">
      <w:pPr>
        <w:pStyle w:val="BodyTextIndent"/>
        <w:tabs>
          <w:tab w:val="left" w:pos="0"/>
        </w:tabs>
        <w:spacing w:line="480" w:lineRule="auto"/>
        <w:ind w:left="0"/>
        <w:jc w:val="both"/>
        <w:rPr>
          <w:rFonts w:asciiTheme="majorBidi" w:hAnsiTheme="majorBidi" w:cstheme="majorBidi"/>
        </w:rPr>
      </w:pPr>
      <w:r w:rsidRPr="00FF1DE5">
        <w:rPr>
          <w:rFonts w:asciiTheme="majorBidi" w:hAnsiTheme="majorBidi" w:cstheme="majorBidi"/>
          <w:bCs/>
          <w:i/>
          <w:iCs/>
          <w:color w:val="0D0D0D" w:themeColor="text1" w:themeTint="F2"/>
        </w:rPr>
        <w:t>Conclusion:</w:t>
      </w:r>
      <w:r w:rsidRPr="00FF1DE5">
        <w:rPr>
          <w:rFonts w:asciiTheme="majorBidi" w:hAnsiTheme="majorBidi" w:cstheme="majorBidi"/>
          <w:b/>
          <w:color w:val="0D0D0D" w:themeColor="text1" w:themeTint="F2"/>
        </w:rPr>
        <w:t xml:space="preserve"> </w:t>
      </w:r>
      <w:r w:rsidR="0097114F" w:rsidRPr="00FF1DE5">
        <w:rPr>
          <w:rFonts w:asciiTheme="majorBidi" w:hAnsiTheme="majorBidi" w:cstheme="majorBidi"/>
        </w:rPr>
        <w:t xml:space="preserve">pre-operative anxiety should be considered and the dose of </w:t>
      </w:r>
      <w:proofErr w:type="spellStart"/>
      <w:r w:rsidR="0097114F" w:rsidRPr="00FF1DE5">
        <w:rPr>
          <w:rFonts w:asciiTheme="majorBidi" w:hAnsiTheme="majorBidi" w:cstheme="majorBidi"/>
        </w:rPr>
        <w:t>propofol</w:t>
      </w:r>
      <w:proofErr w:type="spellEnd"/>
      <w:r w:rsidR="0097114F" w:rsidRPr="00FF1DE5">
        <w:rPr>
          <w:rFonts w:asciiTheme="majorBidi" w:hAnsiTheme="majorBidi" w:cstheme="majorBidi"/>
        </w:rPr>
        <w:t xml:space="preserve"> should be titrated for induction accordingly. Further, larger trials with more sophisticated monitoring are needed to confirm our findings.</w:t>
      </w:r>
    </w:p>
    <w:p w:rsidR="0086707A" w:rsidRPr="00FF1DE5" w:rsidRDefault="0086707A" w:rsidP="0097114F">
      <w:pPr>
        <w:spacing w:before="240" w:line="480" w:lineRule="auto"/>
        <w:jc w:val="both"/>
        <w:rPr>
          <w:rFonts w:asciiTheme="majorBidi" w:hAnsiTheme="majorBidi" w:cstheme="majorBidi"/>
          <w:color w:val="0D0D0D" w:themeColor="text1" w:themeTint="F2"/>
          <w:sz w:val="24"/>
          <w:szCs w:val="24"/>
        </w:rPr>
      </w:pPr>
      <w:r w:rsidRPr="00FF1DE5">
        <w:rPr>
          <w:rFonts w:asciiTheme="majorBidi" w:hAnsiTheme="majorBidi" w:cstheme="majorBidi"/>
          <w:bCs/>
          <w:i/>
          <w:iCs/>
          <w:color w:val="0D0D0D" w:themeColor="text1" w:themeTint="F2"/>
          <w:sz w:val="24"/>
          <w:szCs w:val="24"/>
        </w:rPr>
        <w:t>Keywords:</w:t>
      </w:r>
      <w:r w:rsidR="0097114F" w:rsidRPr="00FF1DE5">
        <w:rPr>
          <w:rFonts w:asciiTheme="majorBidi" w:hAnsiTheme="majorBidi" w:cstheme="majorBidi"/>
          <w:color w:val="0D0D0D" w:themeColor="text1" w:themeTint="F2"/>
          <w:sz w:val="24"/>
          <w:szCs w:val="24"/>
        </w:rPr>
        <w:t xml:space="preserve"> Anxiety</w:t>
      </w:r>
      <w:r w:rsidR="004930D3" w:rsidRPr="00FF1DE5">
        <w:rPr>
          <w:rFonts w:asciiTheme="majorBidi" w:hAnsiTheme="majorBidi" w:cstheme="majorBidi"/>
          <w:color w:val="0D0D0D" w:themeColor="text1" w:themeTint="F2"/>
          <w:sz w:val="24"/>
          <w:szCs w:val="24"/>
        </w:rPr>
        <w:t>,</w:t>
      </w:r>
      <w:r w:rsidR="0097114F" w:rsidRPr="00FF1DE5">
        <w:rPr>
          <w:rFonts w:asciiTheme="majorBidi" w:hAnsiTheme="majorBidi" w:cstheme="majorBidi"/>
          <w:color w:val="0D0D0D" w:themeColor="text1" w:themeTint="F2"/>
          <w:sz w:val="24"/>
          <w:szCs w:val="24"/>
        </w:rPr>
        <w:t xml:space="preserve"> heart rate</w:t>
      </w:r>
      <w:r w:rsidR="00BA1584" w:rsidRPr="00FF1DE5">
        <w:rPr>
          <w:rFonts w:asciiTheme="majorBidi" w:hAnsiTheme="majorBidi" w:cstheme="majorBidi"/>
          <w:color w:val="0D0D0D" w:themeColor="text1" w:themeTint="F2"/>
          <w:sz w:val="24"/>
          <w:szCs w:val="24"/>
        </w:rPr>
        <w:t xml:space="preserve">, </w:t>
      </w:r>
      <w:proofErr w:type="spellStart"/>
      <w:r w:rsidR="0097114F" w:rsidRPr="00FF1DE5">
        <w:rPr>
          <w:rFonts w:asciiTheme="majorBidi" w:hAnsiTheme="majorBidi" w:cstheme="majorBidi"/>
          <w:color w:val="0D0D0D" w:themeColor="text1" w:themeTint="F2"/>
          <w:sz w:val="24"/>
          <w:szCs w:val="24"/>
        </w:rPr>
        <w:t>propofol</w:t>
      </w:r>
      <w:proofErr w:type="spellEnd"/>
      <w:r w:rsidR="00BA1584" w:rsidRPr="00FF1DE5">
        <w:rPr>
          <w:rFonts w:asciiTheme="majorBidi" w:hAnsiTheme="majorBidi" w:cstheme="majorBidi"/>
          <w:color w:val="0D0D0D" w:themeColor="text1" w:themeTint="F2"/>
          <w:sz w:val="24"/>
          <w:szCs w:val="24"/>
        </w:rPr>
        <w:t xml:space="preserve">, </w:t>
      </w:r>
      <w:r w:rsidR="0097114F" w:rsidRPr="00FF1DE5">
        <w:rPr>
          <w:rFonts w:asciiTheme="majorBidi" w:hAnsiTheme="majorBidi" w:cstheme="majorBidi"/>
          <w:color w:val="0D0D0D" w:themeColor="text1" w:themeTint="F2"/>
          <w:sz w:val="24"/>
          <w:szCs w:val="24"/>
        </w:rPr>
        <w:t>induction</w:t>
      </w:r>
      <w:r w:rsidR="00BA1584" w:rsidRPr="00FF1DE5">
        <w:rPr>
          <w:rFonts w:asciiTheme="majorBidi" w:hAnsiTheme="majorBidi" w:cstheme="majorBidi"/>
          <w:color w:val="0D0D0D" w:themeColor="text1" w:themeTint="F2"/>
          <w:sz w:val="24"/>
          <w:szCs w:val="24"/>
        </w:rPr>
        <w:t>.</w:t>
      </w:r>
    </w:p>
    <w:p w:rsidR="005B0729" w:rsidRDefault="009064FD" w:rsidP="006370A8">
      <w:pPr>
        <w:spacing w:before="240" w:line="240" w:lineRule="auto"/>
        <w:rPr>
          <w:rFonts w:ascii="Times New Roman" w:hAnsi="Times New Roman" w:cs="Times New Roman"/>
          <w:color w:val="0D0D0D" w:themeColor="text1" w:themeTint="F2"/>
        </w:rPr>
      </w:pPr>
      <w:r w:rsidRPr="009064FD">
        <w:rPr>
          <w:rFonts w:asciiTheme="majorBidi" w:hAnsiTheme="majorBidi" w:cstheme="majorBidi"/>
          <w:bCs/>
          <w:i/>
          <w:iCs/>
          <w:noProof/>
          <w:color w:val="0D0D0D" w:themeColor="text1" w:themeTint="F2"/>
        </w:rPr>
        <w:pict>
          <v:shape id="_x0000_s1027" type="#_x0000_t32" style="position:absolute;margin-left:0;margin-top:1.85pt;width:462.65pt;height:.75pt;z-index:251659264" o:connectortype="straight"/>
        </w:pict>
      </w:r>
    </w:p>
    <w:p w:rsidR="004930D3" w:rsidRDefault="004930D3" w:rsidP="006370A8">
      <w:pPr>
        <w:spacing w:before="240" w:line="240" w:lineRule="auto"/>
        <w:rPr>
          <w:rFonts w:ascii="Times New Roman" w:hAnsi="Times New Roman" w:cs="Times New Roman"/>
          <w:color w:val="0D0D0D" w:themeColor="text1" w:themeTint="F2"/>
        </w:rPr>
      </w:pPr>
    </w:p>
    <w:p w:rsidR="00FF1DE5" w:rsidRDefault="00FF1DE5" w:rsidP="006370A8">
      <w:pPr>
        <w:spacing w:before="240" w:line="480" w:lineRule="auto"/>
        <w:jc w:val="both"/>
        <w:rPr>
          <w:rFonts w:asciiTheme="majorBidi" w:hAnsiTheme="majorBidi" w:cstheme="majorBidi"/>
          <w:bCs/>
          <w:i/>
          <w:iCs/>
          <w:color w:val="0D0D0D" w:themeColor="text1" w:themeTint="F2"/>
        </w:rPr>
      </w:pPr>
    </w:p>
    <w:p w:rsidR="00A77EC7" w:rsidRPr="00FF1DE5" w:rsidRDefault="00A77EC7" w:rsidP="006370A8">
      <w:pPr>
        <w:spacing w:before="240" w:line="480" w:lineRule="auto"/>
        <w:jc w:val="both"/>
        <w:rPr>
          <w:rFonts w:asciiTheme="majorBidi" w:hAnsiTheme="majorBidi" w:cstheme="majorBidi"/>
          <w:bCs/>
          <w:i/>
          <w:iCs/>
          <w:color w:val="0D0D0D" w:themeColor="text1" w:themeTint="F2"/>
          <w:sz w:val="24"/>
          <w:szCs w:val="24"/>
        </w:rPr>
      </w:pPr>
      <w:r w:rsidRPr="00FF1DE5">
        <w:rPr>
          <w:rFonts w:asciiTheme="majorBidi" w:hAnsiTheme="majorBidi" w:cstheme="majorBidi"/>
          <w:bCs/>
          <w:i/>
          <w:iCs/>
          <w:color w:val="0D0D0D" w:themeColor="text1" w:themeTint="F2"/>
          <w:sz w:val="24"/>
          <w:szCs w:val="24"/>
        </w:rPr>
        <w:lastRenderedPageBreak/>
        <w:t>INTRODUCTION</w:t>
      </w:r>
    </w:p>
    <w:p w:rsidR="00D05008" w:rsidRPr="00FF1DE5" w:rsidRDefault="007E7DBD" w:rsidP="002417F2">
      <w:pPr>
        <w:autoSpaceDE w:val="0"/>
        <w:autoSpaceDN w:val="0"/>
        <w:adjustRightInd w:val="0"/>
        <w:spacing w:line="480" w:lineRule="auto"/>
        <w:jc w:val="both"/>
        <w:rPr>
          <w:rFonts w:asciiTheme="majorBidi" w:hAnsiTheme="majorBidi" w:cstheme="majorBidi"/>
          <w:sz w:val="24"/>
          <w:szCs w:val="24"/>
        </w:rPr>
      </w:pPr>
      <w:r w:rsidRPr="00FF1DE5">
        <w:rPr>
          <w:rFonts w:asciiTheme="majorBidi" w:hAnsiTheme="majorBidi" w:cstheme="majorBidi"/>
          <w:sz w:val="24"/>
          <w:szCs w:val="24"/>
        </w:rPr>
        <w:t xml:space="preserve">Anxiety is a very common phenomenon during </w:t>
      </w:r>
      <w:proofErr w:type="spellStart"/>
      <w:r w:rsidRPr="00FF1DE5">
        <w:rPr>
          <w:rFonts w:asciiTheme="majorBidi" w:hAnsiTheme="majorBidi" w:cstheme="majorBidi"/>
          <w:sz w:val="24"/>
          <w:szCs w:val="24"/>
        </w:rPr>
        <w:t>peri</w:t>
      </w:r>
      <w:proofErr w:type="spellEnd"/>
      <w:r w:rsidRPr="00FF1DE5">
        <w:rPr>
          <w:rFonts w:asciiTheme="majorBidi" w:hAnsiTheme="majorBidi" w:cstheme="majorBidi"/>
          <w:sz w:val="24"/>
          <w:szCs w:val="24"/>
        </w:rPr>
        <w:t>-operative period. Pre-operative anxiety is described as an unpleasant state of uneasiness or tension that is secondary to a patient being concerned about a disease, hospitalization, anesthesia and surgery, or the unknown.</w:t>
      </w:r>
      <w:r w:rsidRPr="00FF1DE5">
        <w:rPr>
          <w:rFonts w:asciiTheme="majorBidi" w:hAnsiTheme="majorBidi" w:cstheme="majorBidi"/>
          <w:sz w:val="24"/>
          <w:szCs w:val="24"/>
          <w:vertAlign w:val="superscript"/>
        </w:rPr>
        <w:t xml:space="preserve">1 </w:t>
      </w:r>
      <w:proofErr w:type="gramStart"/>
      <w:r w:rsidR="002417F2" w:rsidRPr="00FF1DE5">
        <w:rPr>
          <w:rFonts w:asciiTheme="majorBidi" w:hAnsiTheme="majorBidi" w:cstheme="majorBidi"/>
          <w:sz w:val="24"/>
          <w:szCs w:val="24"/>
        </w:rPr>
        <w:t>It</w:t>
      </w:r>
      <w:proofErr w:type="gramEnd"/>
      <w:r w:rsidR="002417F2" w:rsidRPr="00FF1DE5">
        <w:rPr>
          <w:rFonts w:asciiTheme="majorBidi" w:hAnsiTheme="majorBidi" w:cstheme="majorBidi"/>
          <w:sz w:val="24"/>
          <w:szCs w:val="24"/>
        </w:rPr>
        <w:t xml:space="preserve"> creates a great discomfort to the patient. </w:t>
      </w:r>
      <w:r w:rsidRPr="00FF1DE5">
        <w:rPr>
          <w:rFonts w:asciiTheme="majorBidi" w:hAnsiTheme="majorBidi" w:cstheme="majorBidi"/>
          <w:sz w:val="24"/>
          <w:szCs w:val="24"/>
        </w:rPr>
        <w:t>Previous studies have shown that patients with higher anxiety not only experience  more intra-operative hemodynamic disturbances, post operative pain and recovery time but also require more anesthetic drugs.</w:t>
      </w:r>
      <w:r w:rsidRPr="00FF1DE5">
        <w:rPr>
          <w:rFonts w:asciiTheme="majorBidi" w:hAnsiTheme="majorBidi" w:cstheme="majorBidi"/>
          <w:sz w:val="24"/>
          <w:szCs w:val="24"/>
          <w:vertAlign w:val="superscript"/>
        </w:rPr>
        <w:t>2,3</w:t>
      </w:r>
      <w:r w:rsidRPr="00FF1DE5">
        <w:rPr>
          <w:rFonts w:asciiTheme="majorBidi" w:hAnsiTheme="majorBidi" w:cstheme="majorBidi"/>
          <w:sz w:val="24"/>
          <w:szCs w:val="24"/>
        </w:rPr>
        <w:t xml:space="preserve"> The studies have been conducted on different hypnotic drugs from </w:t>
      </w:r>
      <w:proofErr w:type="spellStart"/>
      <w:r w:rsidRPr="00FF1DE5">
        <w:rPr>
          <w:rFonts w:asciiTheme="majorBidi" w:hAnsiTheme="majorBidi" w:cstheme="majorBidi"/>
          <w:sz w:val="24"/>
          <w:szCs w:val="24"/>
        </w:rPr>
        <w:t>methohexitone</w:t>
      </w:r>
      <w:proofErr w:type="spellEnd"/>
      <w:r w:rsidRPr="00FF1DE5">
        <w:rPr>
          <w:rFonts w:asciiTheme="majorBidi" w:hAnsiTheme="majorBidi" w:cstheme="majorBidi"/>
          <w:sz w:val="24"/>
          <w:szCs w:val="24"/>
        </w:rPr>
        <w:t xml:space="preserve"> to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for the purpose to test the hypothesis of whether preoperative anxiety actually increases the requirement of these hypnotic drugs.</w:t>
      </w:r>
      <w:r w:rsidRPr="00FF1DE5">
        <w:rPr>
          <w:rFonts w:asciiTheme="majorBidi" w:hAnsiTheme="majorBidi" w:cstheme="majorBidi"/>
          <w:sz w:val="24"/>
          <w:szCs w:val="24"/>
          <w:vertAlign w:val="superscript"/>
        </w:rPr>
        <w:t>4-</w:t>
      </w:r>
      <w:r w:rsidR="00176AD0" w:rsidRPr="00FF1DE5">
        <w:rPr>
          <w:rFonts w:asciiTheme="majorBidi" w:hAnsiTheme="majorBidi" w:cstheme="majorBidi"/>
          <w:sz w:val="24"/>
          <w:szCs w:val="24"/>
          <w:vertAlign w:val="superscript"/>
        </w:rPr>
        <w:t>7</w:t>
      </w:r>
      <w:r w:rsidRPr="00FF1DE5">
        <w:rPr>
          <w:rFonts w:asciiTheme="majorBidi" w:hAnsiTheme="majorBidi" w:cstheme="majorBidi"/>
          <w:sz w:val="24"/>
          <w:szCs w:val="24"/>
        </w:rPr>
        <w:t xml:space="preserve"> At present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is the most frequently investigated hypnotic drug and have been proved </w:t>
      </w:r>
      <w:r w:rsidR="00D05008" w:rsidRPr="00FF1DE5">
        <w:rPr>
          <w:rFonts w:asciiTheme="majorBidi" w:hAnsiTheme="majorBidi" w:cstheme="majorBidi"/>
          <w:sz w:val="24"/>
          <w:szCs w:val="24"/>
        </w:rPr>
        <w:t>t</w:t>
      </w:r>
      <w:r w:rsidRPr="00FF1DE5">
        <w:rPr>
          <w:rFonts w:asciiTheme="majorBidi" w:hAnsiTheme="majorBidi" w:cstheme="majorBidi"/>
          <w:sz w:val="24"/>
          <w:szCs w:val="24"/>
        </w:rPr>
        <w:t xml:space="preserve">o </w:t>
      </w:r>
      <w:r w:rsidR="00D05008" w:rsidRPr="00FF1DE5">
        <w:rPr>
          <w:rFonts w:asciiTheme="majorBidi" w:hAnsiTheme="majorBidi" w:cstheme="majorBidi"/>
          <w:sz w:val="24"/>
          <w:szCs w:val="24"/>
        </w:rPr>
        <w:t xml:space="preserve">follow </w:t>
      </w:r>
      <w:r w:rsidRPr="00FF1DE5">
        <w:rPr>
          <w:rFonts w:asciiTheme="majorBidi" w:hAnsiTheme="majorBidi" w:cstheme="majorBidi"/>
          <w:sz w:val="24"/>
          <w:szCs w:val="24"/>
        </w:rPr>
        <w:t xml:space="preserve">the same hypothesis of higher the anxiety, higher the amount of </w:t>
      </w:r>
      <w:r w:rsidR="00D05008" w:rsidRPr="00FF1DE5">
        <w:rPr>
          <w:rFonts w:asciiTheme="majorBidi" w:hAnsiTheme="majorBidi" w:cstheme="majorBidi"/>
          <w:sz w:val="24"/>
          <w:szCs w:val="24"/>
        </w:rPr>
        <w:t>drug required.</w:t>
      </w:r>
      <w:r w:rsidR="00176AD0" w:rsidRPr="00FF1DE5">
        <w:rPr>
          <w:rFonts w:asciiTheme="majorBidi" w:hAnsiTheme="majorBidi" w:cstheme="majorBidi"/>
          <w:sz w:val="24"/>
          <w:szCs w:val="24"/>
          <w:vertAlign w:val="superscript"/>
        </w:rPr>
        <w:t>5,8</w:t>
      </w:r>
      <w:r w:rsidR="00D05008" w:rsidRPr="00FF1DE5">
        <w:rPr>
          <w:rFonts w:asciiTheme="majorBidi" w:hAnsiTheme="majorBidi" w:cstheme="majorBidi"/>
          <w:sz w:val="24"/>
          <w:szCs w:val="24"/>
        </w:rPr>
        <w:t xml:space="preserve"> But some recent </w:t>
      </w:r>
      <w:r w:rsidRPr="00FF1DE5">
        <w:rPr>
          <w:rFonts w:asciiTheme="majorBidi" w:hAnsiTheme="majorBidi" w:cstheme="majorBidi"/>
          <w:sz w:val="24"/>
          <w:szCs w:val="24"/>
        </w:rPr>
        <w:t>studies have come with different results.</w:t>
      </w:r>
      <w:r w:rsidR="00176AD0" w:rsidRPr="00FF1DE5">
        <w:rPr>
          <w:rFonts w:asciiTheme="majorBidi" w:hAnsiTheme="majorBidi" w:cstheme="majorBidi"/>
          <w:sz w:val="24"/>
          <w:szCs w:val="24"/>
          <w:vertAlign w:val="superscript"/>
        </w:rPr>
        <w:t>9,10</w:t>
      </w:r>
      <w:r w:rsidRPr="00FF1DE5">
        <w:rPr>
          <w:rFonts w:asciiTheme="majorBidi" w:hAnsiTheme="majorBidi" w:cstheme="majorBidi"/>
          <w:sz w:val="24"/>
          <w:szCs w:val="24"/>
        </w:rPr>
        <w:t xml:space="preserve">  </w:t>
      </w:r>
    </w:p>
    <w:p w:rsidR="00D05008" w:rsidRPr="00FF1DE5" w:rsidRDefault="007E7DBD" w:rsidP="00D05008">
      <w:pPr>
        <w:autoSpaceDE w:val="0"/>
        <w:autoSpaceDN w:val="0"/>
        <w:adjustRightInd w:val="0"/>
        <w:spacing w:line="480" w:lineRule="auto"/>
        <w:jc w:val="both"/>
        <w:rPr>
          <w:rFonts w:asciiTheme="majorBidi" w:hAnsiTheme="majorBidi" w:cstheme="majorBidi"/>
          <w:sz w:val="24"/>
          <w:szCs w:val="24"/>
        </w:rPr>
      </w:pPr>
      <w:r w:rsidRPr="00FF1DE5">
        <w:rPr>
          <w:rFonts w:asciiTheme="majorBidi" w:hAnsiTheme="majorBidi" w:cstheme="majorBidi"/>
          <w:sz w:val="24"/>
          <w:szCs w:val="24"/>
        </w:rPr>
        <w:t>Anxiety and acute mental stress are associated with increased heart rate (HR) and cardiac output</w:t>
      </w:r>
      <w:r w:rsidR="00176AD0" w:rsidRPr="00FF1DE5">
        <w:rPr>
          <w:rFonts w:asciiTheme="majorBidi" w:hAnsiTheme="majorBidi" w:cstheme="majorBidi"/>
          <w:sz w:val="24"/>
          <w:szCs w:val="24"/>
          <w:vertAlign w:val="superscript"/>
        </w:rPr>
        <w:t>11</w:t>
      </w:r>
      <w:r w:rsidRPr="00FF1DE5">
        <w:rPr>
          <w:rFonts w:asciiTheme="majorBidi" w:hAnsiTheme="majorBidi" w:cstheme="majorBidi"/>
          <w:sz w:val="24"/>
          <w:szCs w:val="24"/>
          <w:vertAlign w:val="superscript"/>
        </w:rPr>
        <w:t>,1</w:t>
      </w:r>
      <w:r w:rsidR="00176AD0" w:rsidRPr="00FF1DE5">
        <w:rPr>
          <w:rFonts w:asciiTheme="majorBidi" w:hAnsiTheme="majorBidi" w:cstheme="majorBidi"/>
          <w:sz w:val="24"/>
          <w:szCs w:val="24"/>
          <w:vertAlign w:val="superscript"/>
        </w:rPr>
        <w:t>2</w:t>
      </w:r>
      <w:r w:rsidRPr="00FF1DE5">
        <w:rPr>
          <w:rFonts w:asciiTheme="majorBidi" w:hAnsiTheme="majorBidi" w:cstheme="majorBidi"/>
          <w:sz w:val="24"/>
          <w:szCs w:val="24"/>
        </w:rPr>
        <w:t xml:space="preserve"> and studies have shown that increased cardiac output increases the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requirements.</w:t>
      </w:r>
      <w:r w:rsidRPr="00FF1DE5">
        <w:rPr>
          <w:rFonts w:asciiTheme="majorBidi" w:hAnsiTheme="majorBidi" w:cstheme="majorBidi"/>
          <w:sz w:val="24"/>
          <w:szCs w:val="24"/>
          <w:vertAlign w:val="superscript"/>
        </w:rPr>
        <w:t>1</w:t>
      </w:r>
      <w:r w:rsidR="00176AD0" w:rsidRPr="00FF1DE5">
        <w:rPr>
          <w:rFonts w:asciiTheme="majorBidi" w:hAnsiTheme="majorBidi" w:cstheme="majorBidi"/>
          <w:sz w:val="24"/>
          <w:szCs w:val="24"/>
          <w:vertAlign w:val="superscript"/>
        </w:rPr>
        <w:t>3-1</w:t>
      </w:r>
      <w:r w:rsidR="004120AB" w:rsidRPr="00FF1DE5">
        <w:rPr>
          <w:rFonts w:asciiTheme="majorBidi" w:hAnsiTheme="majorBidi" w:cstheme="majorBidi"/>
          <w:sz w:val="24"/>
          <w:szCs w:val="24"/>
          <w:vertAlign w:val="superscript"/>
        </w:rPr>
        <w:t>6</w:t>
      </w:r>
      <w:r w:rsidRPr="00FF1DE5">
        <w:rPr>
          <w:rFonts w:asciiTheme="majorBidi" w:hAnsiTheme="majorBidi" w:cstheme="majorBidi"/>
          <w:sz w:val="24"/>
          <w:szCs w:val="24"/>
        </w:rPr>
        <w:t xml:space="preserve"> Hence hemodynami</w:t>
      </w:r>
      <w:r w:rsidR="00D05008" w:rsidRPr="00FF1DE5">
        <w:rPr>
          <w:rFonts w:asciiTheme="majorBidi" w:hAnsiTheme="majorBidi" w:cstheme="majorBidi"/>
          <w:sz w:val="24"/>
          <w:szCs w:val="24"/>
        </w:rPr>
        <w:t>c status during induction of an</w:t>
      </w:r>
      <w:r w:rsidRPr="00FF1DE5">
        <w:rPr>
          <w:rFonts w:asciiTheme="majorBidi" w:hAnsiTheme="majorBidi" w:cstheme="majorBidi"/>
          <w:sz w:val="24"/>
          <w:szCs w:val="24"/>
        </w:rPr>
        <w:t xml:space="preserve">esthesia may modify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requirements.</w:t>
      </w:r>
      <w:r w:rsidR="004120AB" w:rsidRPr="00FF1DE5">
        <w:rPr>
          <w:rFonts w:asciiTheme="majorBidi" w:hAnsiTheme="majorBidi" w:cstheme="majorBidi"/>
          <w:sz w:val="24"/>
          <w:szCs w:val="24"/>
          <w:vertAlign w:val="superscript"/>
        </w:rPr>
        <w:t>13</w:t>
      </w:r>
      <w:r w:rsidRPr="00FF1DE5">
        <w:rPr>
          <w:rFonts w:asciiTheme="majorBidi" w:hAnsiTheme="majorBidi" w:cstheme="majorBidi"/>
          <w:sz w:val="24"/>
          <w:szCs w:val="24"/>
          <w:vertAlign w:val="superscript"/>
        </w:rPr>
        <w:t>-1</w:t>
      </w:r>
      <w:r w:rsidR="004120AB" w:rsidRPr="00FF1DE5">
        <w:rPr>
          <w:rFonts w:asciiTheme="majorBidi" w:hAnsiTheme="majorBidi" w:cstheme="majorBidi"/>
          <w:sz w:val="24"/>
          <w:szCs w:val="24"/>
          <w:vertAlign w:val="superscript"/>
        </w:rPr>
        <w:t>8</w:t>
      </w:r>
      <w:r w:rsidRPr="00FF1DE5">
        <w:rPr>
          <w:rFonts w:asciiTheme="majorBidi" w:hAnsiTheme="majorBidi" w:cstheme="majorBidi"/>
          <w:sz w:val="24"/>
          <w:szCs w:val="24"/>
        </w:rPr>
        <w:t xml:space="preserve"> </w:t>
      </w:r>
      <w:r w:rsidR="00D05008" w:rsidRPr="00FF1DE5">
        <w:rPr>
          <w:rFonts w:asciiTheme="majorBidi" w:hAnsiTheme="majorBidi" w:cstheme="majorBidi"/>
          <w:sz w:val="24"/>
          <w:szCs w:val="24"/>
        </w:rPr>
        <w:t xml:space="preserve">In other words, stabilization of hemodynamic status may limit effect of pre-anesthetic anxiety on </w:t>
      </w:r>
      <w:proofErr w:type="spellStart"/>
      <w:r w:rsidR="00D05008" w:rsidRPr="00FF1DE5">
        <w:rPr>
          <w:rFonts w:asciiTheme="majorBidi" w:hAnsiTheme="majorBidi" w:cstheme="majorBidi"/>
          <w:sz w:val="24"/>
          <w:szCs w:val="24"/>
        </w:rPr>
        <w:t>propofol</w:t>
      </w:r>
      <w:proofErr w:type="spellEnd"/>
      <w:r w:rsidR="00D05008" w:rsidRPr="00FF1DE5">
        <w:rPr>
          <w:rFonts w:asciiTheme="majorBidi" w:hAnsiTheme="majorBidi" w:cstheme="majorBidi"/>
          <w:sz w:val="24"/>
          <w:szCs w:val="24"/>
        </w:rPr>
        <w:t xml:space="preserve"> dose requirement for induction.</w:t>
      </w:r>
    </w:p>
    <w:p w:rsidR="004930D3" w:rsidRDefault="008B02EC" w:rsidP="00FF1DE5">
      <w:pPr>
        <w:autoSpaceDE w:val="0"/>
        <w:autoSpaceDN w:val="0"/>
        <w:adjustRightInd w:val="0"/>
        <w:spacing w:line="480" w:lineRule="auto"/>
        <w:jc w:val="both"/>
        <w:rPr>
          <w:rFonts w:asciiTheme="majorBidi" w:hAnsiTheme="majorBidi" w:cstheme="majorBidi"/>
          <w:sz w:val="24"/>
          <w:szCs w:val="24"/>
        </w:rPr>
      </w:pPr>
      <w:r w:rsidRPr="00FF1DE5">
        <w:rPr>
          <w:rFonts w:asciiTheme="majorBidi" w:hAnsiTheme="majorBidi" w:cstheme="majorBidi"/>
          <w:sz w:val="24"/>
          <w:szCs w:val="24"/>
        </w:rPr>
        <w:t>W</w:t>
      </w:r>
      <w:r w:rsidR="007E7DBD" w:rsidRPr="00FF1DE5">
        <w:rPr>
          <w:rFonts w:asciiTheme="majorBidi" w:hAnsiTheme="majorBidi" w:cstheme="majorBidi"/>
          <w:sz w:val="24"/>
          <w:szCs w:val="24"/>
        </w:rPr>
        <w:t>e design</w:t>
      </w:r>
      <w:r w:rsidRPr="00FF1DE5">
        <w:rPr>
          <w:rFonts w:asciiTheme="majorBidi" w:hAnsiTheme="majorBidi" w:cstheme="majorBidi"/>
          <w:sz w:val="24"/>
          <w:szCs w:val="24"/>
        </w:rPr>
        <w:t>ed this study to address</w:t>
      </w:r>
      <w:r w:rsidR="007E7DBD" w:rsidRPr="00FF1DE5">
        <w:rPr>
          <w:rFonts w:asciiTheme="majorBidi" w:hAnsiTheme="majorBidi" w:cstheme="majorBidi"/>
          <w:sz w:val="24"/>
          <w:szCs w:val="24"/>
        </w:rPr>
        <w:t xml:space="preserve"> the effect of pre-a</w:t>
      </w:r>
      <w:r w:rsidRPr="00FF1DE5">
        <w:rPr>
          <w:rFonts w:asciiTheme="majorBidi" w:hAnsiTheme="majorBidi" w:cstheme="majorBidi"/>
          <w:sz w:val="24"/>
          <w:szCs w:val="24"/>
        </w:rPr>
        <w:t>n</w:t>
      </w:r>
      <w:r w:rsidR="007E7DBD" w:rsidRPr="00FF1DE5">
        <w:rPr>
          <w:rFonts w:asciiTheme="majorBidi" w:hAnsiTheme="majorBidi" w:cstheme="majorBidi"/>
          <w:sz w:val="24"/>
          <w:szCs w:val="24"/>
        </w:rPr>
        <w:t xml:space="preserve">esthetic anxiety </w:t>
      </w:r>
      <w:r w:rsidRPr="00FF1DE5">
        <w:rPr>
          <w:rFonts w:asciiTheme="majorBidi" w:hAnsiTheme="majorBidi" w:cstheme="majorBidi"/>
          <w:sz w:val="24"/>
          <w:szCs w:val="24"/>
        </w:rPr>
        <w:t xml:space="preserve">and heart rate on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dose requirement for induction;</w:t>
      </w:r>
      <w:r w:rsidR="007E7DBD" w:rsidRPr="00FF1DE5">
        <w:rPr>
          <w:rFonts w:asciiTheme="majorBidi" w:hAnsiTheme="majorBidi" w:cstheme="majorBidi"/>
          <w:sz w:val="24"/>
          <w:szCs w:val="24"/>
        </w:rPr>
        <w:t xml:space="preserve"> </w:t>
      </w:r>
      <w:r w:rsidRPr="00FF1DE5">
        <w:rPr>
          <w:rFonts w:asciiTheme="majorBidi" w:hAnsiTheme="majorBidi" w:cstheme="majorBidi"/>
          <w:sz w:val="24"/>
          <w:szCs w:val="24"/>
        </w:rPr>
        <w:t>and the effect of pre-anesthetic anxiety on heart rate. L</w:t>
      </w:r>
      <w:r w:rsidR="007E7DBD" w:rsidRPr="00FF1DE5">
        <w:rPr>
          <w:rFonts w:asciiTheme="majorBidi" w:hAnsiTheme="majorBidi" w:cstheme="majorBidi"/>
          <w:sz w:val="24"/>
          <w:szCs w:val="24"/>
        </w:rPr>
        <w:t xml:space="preserve">oss of verbal contact </w:t>
      </w:r>
      <w:r w:rsidR="00465A85" w:rsidRPr="00FF1DE5">
        <w:rPr>
          <w:rFonts w:asciiTheme="majorBidi" w:hAnsiTheme="majorBidi" w:cstheme="majorBidi"/>
          <w:sz w:val="24"/>
          <w:szCs w:val="24"/>
        </w:rPr>
        <w:t>w</w:t>
      </w:r>
      <w:r w:rsidR="007E7DBD" w:rsidRPr="00FF1DE5">
        <w:rPr>
          <w:rFonts w:asciiTheme="majorBidi" w:hAnsiTheme="majorBidi" w:cstheme="majorBidi"/>
          <w:sz w:val="24"/>
          <w:szCs w:val="24"/>
        </w:rPr>
        <w:t xml:space="preserve">as defined </w:t>
      </w:r>
      <w:r w:rsidR="00465A85" w:rsidRPr="00FF1DE5">
        <w:rPr>
          <w:rFonts w:asciiTheme="majorBidi" w:hAnsiTheme="majorBidi" w:cstheme="majorBidi"/>
          <w:sz w:val="24"/>
          <w:szCs w:val="24"/>
        </w:rPr>
        <w:t xml:space="preserve">as the </w:t>
      </w:r>
      <w:r w:rsidR="007E7DBD" w:rsidRPr="00FF1DE5">
        <w:rPr>
          <w:rFonts w:asciiTheme="majorBidi" w:hAnsiTheme="majorBidi" w:cstheme="majorBidi"/>
          <w:sz w:val="24"/>
          <w:szCs w:val="24"/>
        </w:rPr>
        <w:t>end point</w:t>
      </w:r>
      <w:r w:rsidR="00465A85" w:rsidRPr="00FF1DE5">
        <w:rPr>
          <w:rFonts w:asciiTheme="majorBidi" w:hAnsiTheme="majorBidi" w:cstheme="majorBidi"/>
          <w:sz w:val="24"/>
          <w:szCs w:val="24"/>
        </w:rPr>
        <w:t xml:space="preserve"> for induction</w:t>
      </w:r>
      <w:r w:rsidR="007E7DBD" w:rsidRPr="00FF1DE5">
        <w:rPr>
          <w:rFonts w:asciiTheme="majorBidi" w:hAnsiTheme="majorBidi" w:cstheme="majorBidi"/>
          <w:sz w:val="24"/>
          <w:szCs w:val="24"/>
        </w:rPr>
        <w:t xml:space="preserve">. </w:t>
      </w:r>
    </w:p>
    <w:p w:rsidR="00FF1DE5" w:rsidRDefault="00FF1DE5" w:rsidP="0046081D">
      <w:pPr>
        <w:spacing w:before="240" w:line="480" w:lineRule="auto"/>
        <w:jc w:val="both"/>
        <w:rPr>
          <w:rStyle w:val="SubtleEmphasis"/>
          <w:rFonts w:asciiTheme="majorBidi" w:hAnsiTheme="majorBidi" w:cstheme="majorBidi"/>
          <w:bCs/>
          <w:iCs w:val="0"/>
          <w:color w:val="0D0D0D" w:themeColor="text1" w:themeTint="F2"/>
        </w:rPr>
      </w:pPr>
    </w:p>
    <w:p w:rsidR="00171226" w:rsidRDefault="00171226" w:rsidP="0046081D">
      <w:pPr>
        <w:spacing w:before="240" w:line="480" w:lineRule="auto"/>
        <w:jc w:val="both"/>
        <w:rPr>
          <w:rStyle w:val="SubtleEmphasis"/>
          <w:rFonts w:asciiTheme="majorBidi" w:hAnsiTheme="majorBidi" w:cstheme="majorBidi"/>
          <w:bCs/>
          <w:iCs w:val="0"/>
          <w:color w:val="0D0D0D" w:themeColor="text1" w:themeTint="F2"/>
        </w:rPr>
      </w:pPr>
    </w:p>
    <w:p w:rsidR="0046081D" w:rsidRPr="00FF1DE5" w:rsidRDefault="00930D21" w:rsidP="0046081D">
      <w:pPr>
        <w:spacing w:before="240" w:line="480" w:lineRule="auto"/>
        <w:jc w:val="both"/>
        <w:rPr>
          <w:rStyle w:val="SubtleEmphasis"/>
          <w:rFonts w:asciiTheme="majorBidi" w:hAnsiTheme="majorBidi" w:cstheme="majorBidi"/>
          <w:bCs/>
          <w:iCs w:val="0"/>
          <w:color w:val="0D0D0D" w:themeColor="text1" w:themeTint="F2"/>
          <w:sz w:val="24"/>
          <w:szCs w:val="24"/>
        </w:rPr>
      </w:pPr>
      <w:r w:rsidRPr="00FF1DE5">
        <w:rPr>
          <w:rStyle w:val="SubtleEmphasis"/>
          <w:rFonts w:asciiTheme="majorBidi" w:hAnsiTheme="majorBidi" w:cstheme="majorBidi"/>
          <w:bCs/>
          <w:iCs w:val="0"/>
          <w:color w:val="0D0D0D" w:themeColor="text1" w:themeTint="F2"/>
          <w:sz w:val="24"/>
          <w:szCs w:val="24"/>
        </w:rPr>
        <w:lastRenderedPageBreak/>
        <w:t>M</w:t>
      </w:r>
      <w:r w:rsidR="00E13B47" w:rsidRPr="00FF1DE5">
        <w:rPr>
          <w:rStyle w:val="SubtleEmphasis"/>
          <w:rFonts w:asciiTheme="majorBidi" w:hAnsiTheme="majorBidi" w:cstheme="majorBidi"/>
          <w:bCs/>
          <w:iCs w:val="0"/>
          <w:color w:val="0D0D0D" w:themeColor="text1" w:themeTint="F2"/>
          <w:sz w:val="24"/>
          <w:szCs w:val="24"/>
        </w:rPr>
        <w:t>ATERIALS AND M</w:t>
      </w:r>
      <w:r w:rsidRPr="00FF1DE5">
        <w:rPr>
          <w:rStyle w:val="SubtleEmphasis"/>
          <w:rFonts w:asciiTheme="majorBidi" w:hAnsiTheme="majorBidi" w:cstheme="majorBidi"/>
          <w:bCs/>
          <w:iCs w:val="0"/>
          <w:color w:val="0D0D0D" w:themeColor="text1" w:themeTint="F2"/>
          <w:sz w:val="24"/>
          <w:szCs w:val="24"/>
        </w:rPr>
        <w:t>ETHODS</w:t>
      </w:r>
    </w:p>
    <w:p w:rsidR="00200B3F" w:rsidRPr="00FF1DE5" w:rsidRDefault="00200B3F" w:rsidP="002361C6">
      <w:pPr>
        <w:spacing w:line="480" w:lineRule="auto"/>
        <w:jc w:val="both"/>
        <w:rPr>
          <w:rFonts w:asciiTheme="majorBidi" w:hAnsiTheme="majorBidi" w:cstheme="majorBidi"/>
          <w:sz w:val="24"/>
          <w:szCs w:val="24"/>
        </w:rPr>
      </w:pPr>
      <w:r w:rsidRPr="00FF1DE5">
        <w:rPr>
          <w:rStyle w:val="SubtleEmphasis"/>
          <w:rFonts w:asciiTheme="majorBidi" w:hAnsiTheme="majorBidi" w:cstheme="majorBidi"/>
          <w:i w:val="0"/>
          <w:iCs w:val="0"/>
          <w:color w:val="0D0D0D" w:themeColor="text1" w:themeTint="F2"/>
          <w:sz w:val="24"/>
          <w:szCs w:val="24"/>
        </w:rPr>
        <w:t xml:space="preserve">After approval from institutional ethical </w:t>
      </w:r>
      <w:r w:rsidR="004930D3" w:rsidRPr="00FF1DE5">
        <w:rPr>
          <w:rStyle w:val="SubtleEmphasis"/>
          <w:rFonts w:asciiTheme="majorBidi" w:hAnsiTheme="majorBidi" w:cstheme="majorBidi"/>
          <w:i w:val="0"/>
          <w:iCs w:val="0"/>
          <w:color w:val="0D0D0D" w:themeColor="text1" w:themeTint="F2"/>
          <w:sz w:val="24"/>
          <w:szCs w:val="24"/>
        </w:rPr>
        <w:t xml:space="preserve">committee </w:t>
      </w:r>
      <w:r w:rsidRPr="00FF1DE5">
        <w:rPr>
          <w:rStyle w:val="SubtleEmphasis"/>
          <w:rFonts w:asciiTheme="majorBidi" w:hAnsiTheme="majorBidi" w:cstheme="majorBidi"/>
          <w:i w:val="0"/>
          <w:iCs w:val="0"/>
          <w:color w:val="0D0D0D" w:themeColor="text1" w:themeTint="F2"/>
          <w:sz w:val="24"/>
          <w:szCs w:val="24"/>
        </w:rPr>
        <w:t xml:space="preserve">and </w:t>
      </w:r>
      <w:r w:rsidR="004930D3" w:rsidRPr="00FF1DE5">
        <w:rPr>
          <w:rStyle w:val="SubtleEmphasis"/>
          <w:rFonts w:asciiTheme="majorBidi" w:hAnsiTheme="majorBidi" w:cstheme="majorBidi"/>
          <w:i w:val="0"/>
          <w:iCs w:val="0"/>
          <w:color w:val="0D0D0D" w:themeColor="text1" w:themeTint="F2"/>
          <w:sz w:val="24"/>
          <w:szCs w:val="24"/>
        </w:rPr>
        <w:t xml:space="preserve">obtaining </w:t>
      </w:r>
      <w:r w:rsidRPr="00FF1DE5">
        <w:rPr>
          <w:rStyle w:val="SubtleEmphasis"/>
          <w:rFonts w:asciiTheme="majorBidi" w:hAnsiTheme="majorBidi" w:cstheme="majorBidi"/>
          <w:i w:val="0"/>
          <w:iCs w:val="0"/>
          <w:color w:val="0D0D0D" w:themeColor="text1" w:themeTint="F2"/>
          <w:sz w:val="24"/>
          <w:szCs w:val="24"/>
        </w:rPr>
        <w:t>written inform</w:t>
      </w:r>
      <w:r w:rsidR="009E61A4" w:rsidRPr="00FF1DE5">
        <w:rPr>
          <w:rStyle w:val="SubtleEmphasis"/>
          <w:rFonts w:asciiTheme="majorBidi" w:hAnsiTheme="majorBidi" w:cstheme="majorBidi"/>
          <w:i w:val="0"/>
          <w:iCs w:val="0"/>
          <w:color w:val="0D0D0D" w:themeColor="text1" w:themeTint="F2"/>
          <w:sz w:val="24"/>
          <w:szCs w:val="24"/>
        </w:rPr>
        <w:t>ed consent of the patients, the</w:t>
      </w:r>
      <w:r w:rsidRPr="00FF1DE5">
        <w:rPr>
          <w:rStyle w:val="SubtleEmphasis"/>
          <w:rFonts w:asciiTheme="majorBidi" w:hAnsiTheme="majorBidi" w:cstheme="majorBidi"/>
          <w:i w:val="0"/>
          <w:iCs w:val="0"/>
          <w:color w:val="0D0D0D" w:themeColor="text1" w:themeTint="F2"/>
          <w:sz w:val="24"/>
          <w:szCs w:val="24"/>
        </w:rPr>
        <w:t xml:space="preserve"> study was conducted in </w:t>
      </w:r>
      <w:proofErr w:type="spellStart"/>
      <w:r w:rsidRPr="00FF1DE5">
        <w:rPr>
          <w:rStyle w:val="SubtleEmphasis"/>
          <w:rFonts w:asciiTheme="majorBidi" w:hAnsiTheme="majorBidi" w:cstheme="majorBidi"/>
          <w:i w:val="0"/>
          <w:iCs w:val="0"/>
          <w:color w:val="0D0D0D" w:themeColor="text1" w:themeTint="F2"/>
          <w:sz w:val="24"/>
          <w:szCs w:val="24"/>
        </w:rPr>
        <w:t>Nilratan</w:t>
      </w:r>
      <w:proofErr w:type="spellEnd"/>
      <w:r w:rsidRPr="00FF1DE5">
        <w:rPr>
          <w:rStyle w:val="SubtleEmphasis"/>
          <w:rFonts w:asciiTheme="majorBidi" w:hAnsiTheme="majorBidi" w:cstheme="majorBidi"/>
          <w:i w:val="0"/>
          <w:iCs w:val="0"/>
          <w:color w:val="0D0D0D" w:themeColor="text1" w:themeTint="F2"/>
          <w:sz w:val="24"/>
          <w:szCs w:val="24"/>
        </w:rPr>
        <w:t xml:space="preserve"> </w:t>
      </w:r>
      <w:proofErr w:type="spellStart"/>
      <w:r w:rsidRPr="00FF1DE5">
        <w:rPr>
          <w:rStyle w:val="SubtleEmphasis"/>
          <w:rFonts w:asciiTheme="majorBidi" w:hAnsiTheme="majorBidi" w:cstheme="majorBidi"/>
          <w:i w:val="0"/>
          <w:iCs w:val="0"/>
          <w:color w:val="0D0D0D" w:themeColor="text1" w:themeTint="F2"/>
          <w:sz w:val="24"/>
          <w:szCs w:val="24"/>
        </w:rPr>
        <w:t>Sircar</w:t>
      </w:r>
      <w:proofErr w:type="spellEnd"/>
      <w:r w:rsidRPr="00FF1DE5">
        <w:rPr>
          <w:rStyle w:val="SubtleEmphasis"/>
          <w:rFonts w:asciiTheme="majorBidi" w:hAnsiTheme="majorBidi" w:cstheme="majorBidi"/>
          <w:i w:val="0"/>
          <w:iCs w:val="0"/>
          <w:color w:val="0D0D0D" w:themeColor="text1" w:themeTint="F2"/>
          <w:sz w:val="24"/>
          <w:szCs w:val="24"/>
        </w:rPr>
        <w:t xml:space="preserve"> Medical College and Hospital, a tertiary care medical college hospital in eastern India. </w:t>
      </w:r>
      <w:r w:rsidR="00E66254" w:rsidRPr="00FF1DE5">
        <w:rPr>
          <w:rStyle w:val="SubtleEmphasis"/>
          <w:rFonts w:asciiTheme="majorBidi" w:hAnsiTheme="majorBidi" w:cstheme="majorBidi"/>
          <w:i w:val="0"/>
          <w:iCs w:val="0"/>
          <w:color w:val="0D0D0D" w:themeColor="text1" w:themeTint="F2"/>
          <w:sz w:val="24"/>
          <w:szCs w:val="24"/>
        </w:rPr>
        <w:t xml:space="preserve">Total </w:t>
      </w:r>
      <w:r w:rsidR="002361C6" w:rsidRPr="00FF1DE5">
        <w:rPr>
          <w:rFonts w:asciiTheme="majorBidi" w:hAnsiTheme="majorBidi" w:cstheme="majorBidi"/>
          <w:color w:val="0D0D0D" w:themeColor="text1" w:themeTint="F2"/>
          <w:sz w:val="24"/>
          <w:szCs w:val="24"/>
        </w:rPr>
        <w:t>42</w:t>
      </w:r>
      <w:r w:rsidRPr="00FF1DE5">
        <w:rPr>
          <w:rFonts w:asciiTheme="majorBidi" w:hAnsiTheme="majorBidi" w:cstheme="majorBidi"/>
          <w:color w:val="0D0D0D" w:themeColor="text1" w:themeTint="F2"/>
          <w:sz w:val="24"/>
          <w:szCs w:val="24"/>
        </w:rPr>
        <w:t xml:space="preserve"> patients of </w:t>
      </w:r>
      <w:r w:rsidR="007D3A5B" w:rsidRPr="00FF1DE5">
        <w:rPr>
          <w:rFonts w:asciiTheme="majorBidi" w:hAnsiTheme="majorBidi" w:cstheme="majorBidi"/>
          <w:color w:val="0D0D0D" w:themeColor="text1" w:themeTint="F2"/>
          <w:sz w:val="24"/>
          <w:szCs w:val="24"/>
        </w:rPr>
        <w:t>ASA</w:t>
      </w:r>
      <w:r w:rsidR="007D3A5B" w:rsidRPr="00FF1DE5">
        <w:rPr>
          <w:sz w:val="24"/>
          <w:szCs w:val="24"/>
        </w:rPr>
        <w:t xml:space="preserve"> </w:t>
      </w:r>
      <w:r w:rsidRPr="00FF1DE5">
        <w:rPr>
          <w:rFonts w:asciiTheme="majorBidi" w:hAnsiTheme="majorBidi" w:cstheme="majorBidi"/>
          <w:sz w:val="24"/>
          <w:szCs w:val="24"/>
        </w:rPr>
        <w:t>(</w:t>
      </w:r>
      <w:hyperlink r:id="rId9" w:tooltip="American Society of Anesthesiologists" w:history="1">
        <w:r w:rsidR="007D3A5B" w:rsidRPr="00FF1DE5">
          <w:rPr>
            <w:rStyle w:val="Hyperlink"/>
            <w:rFonts w:asciiTheme="majorBidi" w:hAnsiTheme="majorBidi" w:cstheme="majorBidi"/>
            <w:color w:val="000000" w:themeColor="text1"/>
            <w:sz w:val="24"/>
            <w:szCs w:val="24"/>
            <w:u w:val="none"/>
            <w:shd w:val="clear" w:color="auto" w:fill="FFFFFF"/>
          </w:rPr>
          <w:t>American Society of Anesthesiologists</w:t>
        </w:r>
      </w:hyperlink>
      <w:r w:rsidRPr="00FF1DE5">
        <w:rPr>
          <w:rFonts w:asciiTheme="majorBidi" w:hAnsiTheme="majorBidi" w:cstheme="majorBidi"/>
          <w:color w:val="0D0D0D" w:themeColor="text1" w:themeTint="F2"/>
          <w:sz w:val="24"/>
          <w:szCs w:val="24"/>
        </w:rPr>
        <w:t xml:space="preserve">) physical status I and II, </w:t>
      </w:r>
      <w:r w:rsidR="002361C6" w:rsidRPr="00FF1DE5">
        <w:rPr>
          <w:rFonts w:asciiTheme="majorBidi" w:hAnsiTheme="majorBidi" w:cstheme="majorBidi"/>
          <w:color w:val="0D0D0D" w:themeColor="text1" w:themeTint="F2"/>
          <w:sz w:val="24"/>
          <w:szCs w:val="24"/>
        </w:rPr>
        <w:t>13 male and 29</w:t>
      </w:r>
      <w:r w:rsidR="009E61A4" w:rsidRPr="00FF1DE5">
        <w:rPr>
          <w:rFonts w:asciiTheme="majorBidi" w:hAnsiTheme="majorBidi" w:cstheme="majorBidi"/>
          <w:color w:val="0D0D0D" w:themeColor="text1" w:themeTint="F2"/>
          <w:sz w:val="24"/>
          <w:szCs w:val="24"/>
        </w:rPr>
        <w:t xml:space="preserve"> female, </w:t>
      </w:r>
      <w:r w:rsidR="002361C6" w:rsidRPr="00FF1DE5">
        <w:rPr>
          <w:rFonts w:asciiTheme="majorBidi" w:hAnsiTheme="majorBidi" w:cstheme="majorBidi"/>
          <w:color w:val="0D0D0D" w:themeColor="text1" w:themeTint="F2"/>
          <w:sz w:val="24"/>
          <w:szCs w:val="24"/>
        </w:rPr>
        <w:t>aged between 18 to 5</w:t>
      </w:r>
      <w:r w:rsidRPr="00FF1DE5">
        <w:rPr>
          <w:rFonts w:asciiTheme="majorBidi" w:hAnsiTheme="majorBidi" w:cstheme="majorBidi"/>
          <w:color w:val="0D0D0D" w:themeColor="text1" w:themeTint="F2"/>
          <w:sz w:val="24"/>
          <w:szCs w:val="24"/>
        </w:rPr>
        <w:t>0 years</w:t>
      </w:r>
      <w:r w:rsidR="009E61A4" w:rsidRPr="00FF1DE5">
        <w:rPr>
          <w:rFonts w:asciiTheme="majorBidi" w:hAnsiTheme="majorBidi" w:cstheme="majorBidi"/>
          <w:color w:val="0D0D0D" w:themeColor="text1" w:themeTint="F2"/>
          <w:sz w:val="24"/>
          <w:szCs w:val="24"/>
        </w:rPr>
        <w:t xml:space="preserve"> and</w:t>
      </w:r>
      <w:r w:rsidRPr="00FF1DE5">
        <w:rPr>
          <w:rFonts w:asciiTheme="majorBidi" w:hAnsiTheme="majorBidi" w:cstheme="majorBidi"/>
          <w:color w:val="0D0D0D" w:themeColor="text1" w:themeTint="F2"/>
          <w:sz w:val="24"/>
          <w:szCs w:val="24"/>
        </w:rPr>
        <w:t xml:space="preserve"> </w:t>
      </w:r>
      <w:r w:rsidRPr="00FF1DE5">
        <w:rPr>
          <w:rFonts w:asciiTheme="majorBidi" w:hAnsiTheme="majorBidi" w:cstheme="majorBidi"/>
          <w:sz w:val="24"/>
          <w:szCs w:val="24"/>
        </w:rPr>
        <w:t>scheduled for</w:t>
      </w:r>
      <w:r w:rsidRPr="00FF1DE5">
        <w:rPr>
          <w:rStyle w:val="SubtleEmphasis"/>
          <w:rFonts w:asciiTheme="majorBidi" w:hAnsiTheme="majorBidi" w:cstheme="majorBidi"/>
          <w:i w:val="0"/>
          <w:iCs w:val="0"/>
          <w:color w:val="auto"/>
          <w:sz w:val="24"/>
          <w:szCs w:val="24"/>
        </w:rPr>
        <w:t xml:space="preserve"> </w:t>
      </w:r>
      <w:r w:rsidR="002361C6" w:rsidRPr="00FF1DE5">
        <w:rPr>
          <w:rStyle w:val="SubtleEmphasis"/>
          <w:rFonts w:asciiTheme="majorBidi" w:hAnsiTheme="majorBidi" w:cstheme="majorBidi"/>
          <w:i w:val="0"/>
          <w:iCs w:val="0"/>
          <w:color w:val="auto"/>
          <w:sz w:val="24"/>
          <w:szCs w:val="24"/>
        </w:rPr>
        <w:t xml:space="preserve">elective </w:t>
      </w:r>
      <w:r w:rsidRPr="00FF1DE5">
        <w:rPr>
          <w:rStyle w:val="SubtleEmphasis"/>
          <w:rFonts w:asciiTheme="majorBidi" w:hAnsiTheme="majorBidi" w:cstheme="majorBidi"/>
          <w:i w:val="0"/>
          <w:iCs w:val="0"/>
          <w:color w:val="auto"/>
          <w:sz w:val="24"/>
          <w:szCs w:val="24"/>
        </w:rPr>
        <w:t>surgery</w:t>
      </w:r>
      <w:r w:rsidR="002361C6" w:rsidRPr="00FF1DE5">
        <w:rPr>
          <w:rStyle w:val="SubtleEmphasis"/>
          <w:rFonts w:asciiTheme="majorBidi" w:hAnsiTheme="majorBidi" w:cstheme="majorBidi"/>
          <w:i w:val="0"/>
          <w:iCs w:val="0"/>
          <w:color w:val="auto"/>
          <w:sz w:val="24"/>
          <w:szCs w:val="24"/>
        </w:rPr>
        <w:t xml:space="preserve"> under general anesthesia</w:t>
      </w:r>
      <w:r w:rsidR="009E61A4" w:rsidRPr="00FF1DE5">
        <w:rPr>
          <w:rStyle w:val="SubtleEmphasis"/>
          <w:rFonts w:asciiTheme="majorBidi" w:hAnsiTheme="majorBidi" w:cstheme="majorBidi"/>
          <w:i w:val="0"/>
          <w:iCs w:val="0"/>
          <w:color w:val="auto"/>
          <w:sz w:val="24"/>
          <w:szCs w:val="24"/>
        </w:rPr>
        <w:t>,</w:t>
      </w:r>
      <w:r w:rsidRPr="00FF1DE5">
        <w:rPr>
          <w:rFonts w:asciiTheme="majorBidi" w:hAnsiTheme="majorBidi" w:cstheme="majorBidi"/>
          <w:sz w:val="24"/>
          <w:szCs w:val="24"/>
        </w:rPr>
        <w:t xml:space="preserve"> were enrolled in this study. Power calculation</w:t>
      </w:r>
      <w:r w:rsidR="002361C6" w:rsidRPr="00FF1DE5">
        <w:rPr>
          <w:rFonts w:asciiTheme="majorBidi" w:hAnsiTheme="majorBidi" w:cstheme="majorBidi"/>
          <w:sz w:val="24"/>
          <w:szCs w:val="24"/>
        </w:rPr>
        <w:t>s suggested that a minimum of 21 subjects would be</w:t>
      </w:r>
      <w:r w:rsidRPr="00FF1DE5">
        <w:rPr>
          <w:rFonts w:asciiTheme="majorBidi" w:hAnsiTheme="majorBidi" w:cstheme="majorBidi"/>
          <w:sz w:val="24"/>
          <w:szCs w:val="24"/>
        </w:rPr>
        <w:t xml:space="preserve"> required </w:t>
      </w:r>
      <w:r w:rsidR="002361C6" w:rsidRPr="00FF1DE5">
        <w:rPr>
          <w:rFonts w:asciiTheme="majorBidi" w:hAnsiTheme="majorBidi" w:cstheme="majorBidi"/>
          <w:sz w:val="24"/>
          <w:szCs w:val="24"/>
        </w:rPr>
        <w:t xml:space="preserve">for the study </w:t>
      </w:r>
      <w:r w:rsidRPr="00FF1DE5">
        <w:rPr>
          <w:rFonts w:asciiTheme="majorBidi" w:hAnsiTheme="majorBidi" w:cstheme="majorBidi"/>
          <w:sz w:val="24"/>
          <w:szCs w:val="24"/>
        </w:rPr>
        <w:t xml:space="preserve">to </w:t>
      </w:r>
      <w:r w:rsidR="002361C6" w:rsidRPr="00FF1DE5">
        <w:rPr>
          <w:rFonts w:asciiTheme="majorBidi" w:hAnsiTheme="majorBidi" w:cstheme="majorBidi"/>
          <w:sz w:val="24"/>
          <w:szCs w:val="24"/>
        </w:rPr>
        <w:t xml:space="preserve">reject or accept the null hypothesis </w:t>
      </w:r>
      <w:r w:rsidR="005608B8" w:rsidRPr="00FF1DE5">
        <w:rPr>
          <w:rFonts w:asciiTheme="majorBidi" w:hAnsiTheme="majorBidi" w:cstheme="majorBidi"/>
          <w:sz w:val="24"/>
          <w:szCs w:val="24"/>
        </w:rPr>
        <w:t>[</w:t>
      </w:r>
      <w:r w:rsidR="002361C6" w:rsidRPr="00FF1DE5">
        <w:rPr>
          <w:rFonts w:asciiTheme="majorBidi" w:hAnsiTheme="majorBidi" w:cstheme="majorBidi"/>
          <w:sz w:val="24"/>
          <w:szCs w:val="24"/>
        </w:rPr>
        <w:t>assuming study power of 90 %, probability of type I error (alpha) of</w:t>
      </w:r>
      <w:r w:rsidR="00902F98" w:rsidRPr="00FF1DE5">
        <w:rPr>
          <w:rFonts w:asciiTheme="majorBidi" w:hAnsiTheme="majorBidi" w:cstheme="majorBidi"/>
          <w:sz w:val="24"/>
          <w:szCs w:val="24"/>
        </w:rPr>
        <w:t xml:space="preserve"> 5 %</w:t>
      </w:r>
      <w:r w:rsidR="002361C6" w:rsidRPr="00FF1DE5">
        <w:rPr>
          <w:rFonts w:asciiTheme="majorBidi" w:hAnsiTheme="majorBidi" w:cstheme="majorBidi"/>
          <w:sz w:val="24"/>
          <w:szCs w:val="24"/>
        </w:rPr>
        <w:t xml:space="preserve"> and minimum positive Pearson's correlation coefficient </w:t>
      </w:r>
      <w:r w:rsidR="00902F98" w:rsidRPr="00FF1DE5">
        <w:rPr>
          <w:rFonts w:asciiTheme="majorBidi" w:hAnsiTheme="majorBidi" w:cstheme="majorBidi"/>
          <w:sz w:val="24"/>
          <w:szCs w:val="24"/>
        </w:rPr>
        <w:t>(rho) of</w:t>
      </w:r>
      <w:r w:rsidR="002361C6" w:rsidRPr="00FF1DE5">
        <w:rPr>
          <w:rFonts w:asciiTheme="majorBidi" w:hAnsiTheme="majorBidi" w:cstheme="majorBidi"/>
          <w:sz w:val="24"/>
          <w:szCs w:val="24"/>
        </w:rPr>
        <w:t xml:space="preserve"> 0.6</w:t>
      </w:r>
      <w:r w:rsidR="005608B8" w:rsidRPr="00FF1DE5">
        <w:rPr>
          <w:rFonts w:asciiTheme="majorBidi" w:hAnsiTheme="majorBidi" w:cstheme="majorBidi"/>
          <w:sz w:val="24"/>
          <w:szCs w:val="24"/>
        </w:rPr>
        <w:t>]</w:t>
      </w:r>
      <w:r w:rsidRPr="00FF1DE5">
        <w:rPr>
          <w:rFonts w:asciiTheme="majorBidi" w:hAnsiTheme="majorBidi" w:cstheme="majorBidi"/>
          <w:sz w:val="24"/>
          <w:szCs w:val="24"/>
        </w:rPr>
        <w:t>.</w:t>
      </w:r>
      <w:r w:rsidR="008700F0" w:rsidRPr="00FF1DE5">
        <w:rPr>
          <w:rFonts w:asciiTheme="majorBidi" w:hAnsiTheme="majorBidi" w:cstheme="majorBidi"/>
          <w:sz w:val="24"/>
          <w:szCs w:val="24"/>
        </w:rPr>
        <w:t xml:space="preserve"> To be on a safer side, </w:t>
      </w:r>
      <w:r w:rsidR="00902F98" w:rsidRPr="00FF1DE5">
        <w:rPr>
          <w:rFonts w:asciiTheme="majorBidi" w:hAnsiTheme="majorBidi" w:cstheme="majorBidi"/>
          <w:sz w:val="24"/>
          <w:szCs w:val="24"/>
        </w:rPr>
        <w:t>a total of 42</w:t>
      </w:r>
      <w:r w:rsidR="008700F0" w:rsidRPr="00FF1DE5">
        <w:rPr>
          <w:rFonts w:asciiTheme="majorBidi" w:hAnsiTheme="majorBidi" w:cstheme="majorBidi"/>
          <w:sz w:val="24"/>
          <w:szCs w:val="24"/>
        </w:rPr>
        <w:t xml:space="preserve"> pati</w:t>
      </w:r>
      <w:r w:rsidR="00902F98" w:rsidRPr="00FF1DE5">
        <w:rPr>
          <w:rFonts w:asciiTheme="majorBidi" w:hAnsiTheme="majorBidi" w:cstheme="majorBidi"/>
          <w:sz w:val="24"/>
          <w:szCs w:val="24"/>
        </w:rPr>
        <w:t>ents were incorporated for the</w:t>
      </w:r>
      <w:r w:rsidR="008700F0" w:rsidRPr="00FF1DE5">
        <w:rPr>
          <w:rFonts w:asciiTheme="majorBidi" w:hAnsiTheme="majorBidi" w:cstheme="majorBidi"/>
          <w:sz w:val="24"/>
          <w:szCs w:val="24"/>
        </w:rPr>
        <w:t xml:space="preserve"> </w:t>
      </w:r>
      <w:r w:rsidR="00902F98" w:rsidRPr="00FF1DE5">
        <w:rPr>
          <w:rFonts w:asciiTheme="majorBidi" w:hAnsiTheme="majorBidi" w:cstheme="majorBidi"/>
          <w:sz w:val="24"/>
          <w:szCs w:val="24"/>
        </w:rPr>
        <w:t>study (n=42</w:t>
      </w:r>
      <w:r w:rsidR="008700F0" w:rsidRPr="00FF1DE5">
        <w:rPr>
          <w:rFonts w:asciiTheme="majorBidi" w:hAnsiTheme="majorBidi" w:cstheme="majorBidi"/>
          <w:sz w:val="24"/>
          <w:szCs w:val="24"/>
        </w:rPr>
        <w:t>).</w:t>
      </w:r>
    </w:p>
    <w:p w:rsidR="0049262C" w:rsidRPr="00FF1DE5" w:rsidRDefault="0049262C" w:rsidP="00BB2209">
      <w:pPr>
        <w:spacing w:line="480" w:lineRule="auto"/>
        <w:jc w:val="both"/>
        <w:rPr>
          <w:rFonts w:asciiTheme="majorBidi" w:hAnsiTheme="majorBidi" w:cstheme="majorBidi"/>
          <w:sz w:val="24"/>
          <w:szCs w:val="24"/>
        </w:rPr>
      </w:pPr>
      <w:r w:rsidRPr="00FF1DE5">
        <w:rPr>
          <w:rFonts w:asciiTheme="majorBidi" w:hAnsiTheme="majorBidi" w:cstheme="majorBidi"/>
          <w:sz w:val="24"/>
          <w:szCs w:val="24"/>
        </w:rPr>
        <w:t xml:space="preserve">Pregnant patients and those with </w:t>
      </w:r>
      <w:r w:rsidR="00E31259" w:rsidRPr="00FF1DE5">
        <w:rPr>
          <w:rFonts w:asciiTheme="majorBidi" w:hAnsiTheme="majorBidi" w:cstheme="majorBidi"/>
          <w:sz w:val="24"/>
          <w:szCs w:val="24"/>
        </w:rPr>
        <w:t xml:space="preserve">anemia (defined as hemoglobin less than </w:t>
      </w:r>
      <w:r w:rsidRPr="00FF1DE5">
        <w:rPr>
          <w:rFonts w:asciiTheme="majorBidi" w:hAnsiTheme="majorBidi" w:cstheme="majorBidi"/>
          <w:sz w:val="24"/>
          <w:szCs w:val="24"/>
        </w:rPr>
        <w:t>10</w:t>
      </w:r>
      <w:r w:rsidR="005A2203">
        <w:rPr>
          <w:rFonts w:asciiTheme="majorBidi" w:hAnsiTheme="majorBidi" w:cstheme="majorBidi"/>
          <w:sz w:val="24"/>
          <w:szCs w:val="24"/>
        </w:rPr>
        <w:t xml:space="preserve"> </w:t>
      </w:r>
      <w:proofErr w:type="gramStart"/>
      <w:r w:rsidRPr="00FF1DE5">
        <w:rPr>
          <w:rFonts w:asciiTheme="majorBidi" w:hAnsiTheme="majorBidi" w:cstheme="majorBidi"/>
          <w:sz w:val="24"/>
          <w:szCs w:val="24"/>
        </w:rPr>
        <w:t>gm%</w:t>
      </w:r>
      <w:proofErr w:type="gramEnd"/>
      <w:r w:rsidR="00E31259" w:rsidRPr="00FF1DE5">
        <w:rPr>
          <w:rFonts w:asciiTheme="majorBidi" w:hAnsiTheme="majorBidi" w:cstheme="majorBidi"/>
          <w:sz w:val="24"/>
          <w:szCs w:val="24"/>
        </w:rPr>
        <w:t>);</w:t>
      </w:r>
      <w:r w:rsidRPr="00FF1DE5">
        <w:rPr>
          <w:rFonts w:asciiTheme="majorBidi" w:hAnsiTheme="majorBidi" w:cstheme="majorBidi"/>
          <w:sz w:val="24"/>
          <w:szCs w:val="24"/>
        </w:rPr>
        <w:t xml:space="preserve"> </w:t>
      </w:r>
      <w:r w:rsidR="00871548" w:rsidRPr="00FF1DE5">
        <w:rPr>
          <w:rFonts w:asciiTheme="majorBidi" w:hAnsiTheme="majorBidi" w:cstheme="majorBidi"/>
          <w:sz w:val="24"/>
          <w:szCs w:val="24"/>
        </w:rPr>
        <w:t xml:space="preserve">cardiovascular disease; </w:t>
      </w:r>
      <w:r w:rsidRPr="00FF1DE5">
        <w:rPr>
          <w:rFonts w:asciiTheme="majorBidi" w:hAnsiTheme="majorBidi" w:cstheme="majorBidi"/>
          <w:sz w:val="24"/>
          <w:szCs w:val="24"/>
        </w:rPr>
        <w:t>ne</w:t>
      </w:r>
      <w:r w:rsidR="00BB2209" w:rsidRPr="00FF1DE5">
        <w:rPr>
          <w:rFonts w:asciiTheme="majorBidi" w:hAnsiTheme="majorBidi" w:cstheme="majorBidi"/>
          <w:sz w:val="24"/>
          <w:szCs w:val="24"/>
        </w:rPr>
        <w:t>urologic or psychiatric disease;</w:t>
      </w:r>
      <w:r w:rsidRPr="00FF1DE5">
        <w:rPr>
          <w:rFonts w:asciiTheme="majorBidi" w:hAnsiTheme="majorBidi" w:cstheme="majorBidi"/>
          <w:sz w:val="24"/>
          <w:szCs w:val="24"/>
        </w:rPr>
        <w:t xml:space="preserve"> chronic medication with beta-b</w:t>
      </w:r>
      <w:r w:rsidR="00BB2209" w:rsidRPr="00FF1DE5">
        <w:rPr>
          <w:rFonts w:asciiTheme="majorBidi" w:hAnsiTheme="majorBidi" w:cstheme="majorBidi"/>
          <w:sz w:val="24"/>
          <w:szCs w:val="24"/>
        </w:rPr>
        <w:t xml:space="preserve">lockers, </w:t>
      </w:r>
      <w:proofErr w:type="spellStart"/>
      <w:r w:rsidR="00BB2209" w:rsidRPr="00FF1DE5">
        <w:rPr>
          <w:rFonts w:asciiTheme="majorBidi" w:hAnsiTheme="majorBidi" w:cstheme="majorBidi"/>
          <w:sz w:val="24"/>
          <w:szCs w:val="24"/>
        </w:rPr>
        <w:t>anxiolytics</w:t>
      </w:r>
      <w:proofErr w:type="spellEnd"/>
      <w:r w:rsidR="00BB2209" w:rsidRPr="00FF1DE5">
        <w:rPr>
          <w:rFonts w:asciiTheme="majorBidi" w:hAnsiTheme="majorBidi" w:cstheme="majorBidi"/>
          <w:sz w:val="24"/>
          <w:szCs w:val="24"/>
        </w:rPr>
        <w:t xml:space="preserve">, antidepressants, </w:t>
      </w:r>
      <w:proofErr w:type="spellStart"/>
      <w:r w:rsidR="00BB2209" w:rsidRPr="00FF1DE5">
        <w:rPr>
          <w:rFonts w:asciiTheme="majorBidi" w:hAnsiTheme="majorBidi" w:cstheme="majorBidi"/>
          <w:sz w:val="24"/>
          <w:szCs w:val="24"/>
        </w:rPr>
        <w:t>opioids</w:t>
      </w:r>
      <w:proofErr w:type="spellEnd"/>
      <w:r w:rsidR="00BB2209" w:rsidRPr="00FF1DE5">
        <w:rPr>
          <w:rFonts w:asciiTheme="majorBidi" w:hAnsiTheme="majorBidi" w:cstheme="majorBidi"/>
          <w:sz w:val="24"/>
          <w:szCs w:val="24"/>
        </w:rPr>
        <w:t>;</w:t>
      </w:r>
      <w:r w:rsidRPr="00FF1DE5">
        <w:rPr>
          <w:rFonts w:asciiTheme="majorBidi" w:hAnsiTheme="majorBidi" w:cstheme="majorBidi"/>
          <w:sz w:val="24"/>
          <w:szCs w:val="24"/>
        </w:rPr>
        <w:t xml:space="preserve"> documented</w:t>
      </w:r>
      <w:r w:rsidR="00BB2209" w:rsidRPr="00FF1DE5">
        <w:rPr>
          <w:rFonts w:asciiTheme="majorBidi" w:hAnsiTheme="majorBidi" w:cstheme="majorBidi"/>
          <w:sz w:val="24"/>
          <w:szCs w:val="24"/>
        </w:rPr>
        <w:t xml:space="preserve"> alcohol or drug abuse and</w:t>
      </w:r>
      <w:r w:rsidRPr="00FF1DE5">
        <w:rPr>
          <w:rFonts w:asciiTheme="majorBidi" w:hAnsiTheme="majorBidi" w:cstheme="majorBidi"/>
          <w:sz w:val="24"/>
          <w:szCs w:val="24"/>
        </w:rPr>
        <w:t xml:space="preserve"> thyroid patients </w:t>
      </w:r>
      <w:r w:rsidR="00BB2209" w:rsidRPr="00FF1DE5">
        <w:rPr>
          <w:rFonts w:asciiTheme="majorBidi" w:hAnsiTheme="majorBidi" w:cstheme="majorBidi"/>
          <w:sz w:val="24"/>
          <w:szCs w:val="24"/>
        </w:rPr>
        <w:t>(both hypo and hyperthyroid)</w:t>
      </w:r>
      <w:r w:rsidRPr="00FF1DE5">
        <w:rPr>
          <w:rFonts w:asciiTheme="majorBidi" w:hAnsiTheme="majorBidi" w:cstheme="majorBidi"/>
          <w:sz w:val="24"/>
          <w:szCs w:val="24"/>
        </w:rPr>
        <w:t xml:space="preserve"> were excluded from the study.</w:t>
      </w:r>
      <w:r w:rsidR="00BB2209" w:rsidRPr="00FF1DE5">
        <w:rPr>
          <w:rFonts w:asciiTheme="majorBidi" w:hAnsiTheme="majorBidi" w:cstheme="majorBidi"/>
          <w:sz w:val="24"/>
          <w:szCs w:val="24"/>
        </w:rPr>
        <w:t xml:space="preserve"> Patients unable to communicate or complete the anxiety </w:t>
      </w:r>
      <w:r w:rsidR="00957AE9" w:rsidRPr="00FF1DE5">
        <w:rPr>
          <w:rFonts w:asciiTheme="majorBidi" w:hAnsiTheme="majorBidi" w:cstheme="majorBidi"/>
          <w:sz w:val="24"/>
          <w:szCs w:val="24"/>
        </w:rPr>
        <w:t>forms (e.g., deaf and dumb patients) were also excluded from the study.</w:t>
      </w:r>
    </w:p>
    <w:p w:rsidR="001E53A7" w:rsidRPr="00FF1DE5" w:rsidRDefault="00E74D58" w:rsidP="001E53A7">
      <w:pPr>
        <w:spacing w:line="480" w:lineRule="auto"/>
        <w:jc w:val="both"/>
        <w:rPr>
          <w:rFonts w:asciiTheme="majorBidi" w:hAnsiTheme="majorBidi" w:cstheme="majorBidi"/>
          <w:sz w:val="24"/>
          <w:szCs w:val="24"/>
        </w:rPr>
      </w:pPr>
      <w:r w:rsidRPr="00FF1DE5">
        <w:rPr>
          <w:rFonts w:asciiTheme="majorBidi" w:hAnsiTheme="majorBidi" w:cstheme="majorBidi"/>
          <w:sz w:val="24"/>
          <w:szCs w:val="24"/>
        </w:rPr>
        <w:t xml:space="preserve">On the day before surgery during pre-anesthetic evaluation, proper history was taken and examination was done. Anxiety assessment was done using </w:t>
      </w:r>
      <w:proofErr w:type="spellStart"/>
      <w:r w:rsidRPr="00FF1DE5">
        <w:rPr>
          <w:rFonts w:asciiTheme="majorBidi" w:hAnsiTheme="majorBidi" w:cstheme="majorBidi"/>
          <w:sz w:val="24"/>
          <w:szCs w:val="24"/>
        </w:rPr>
        <w:t>Spielberger’s</w:t>
      </w:r>
      <w:proofErr w:type="spellEnd"/>
      <w:r w:rsidRPr="00FF1DE5">
        <w:rPr>
          <w:rFonts w:asciiTheme="majorBidi" w:hAnsiTheme="majorBidi" w:cstheme="majorBidi"/>
          <w:sz w:val="24"/>
          <w:szCs w:val="24"/>
        </w:rPr>
        <w:t xml:space="preserve"> revised State-Trait Anxiety Inventory (STAI) scale or form Y.</w:t>
      </w:r>
      <w:r w:rsidR="004502FA" w:rsidRPr="00FF1DE5">
        <w:rPr>
          <w:rFonts w:asciiTheme="majorBidi" w:hAnsiTheme="majorBidi" w:cstheme="majorBidi"/>
          <w:sz w:val="24"/>
          <w:szCs w:val="24"/>
        </w:rPr>
        <w:t xml:space="preserve"> The STAI is a widely used self-report anxiety assessment instrument with two subscales each containing 20 statements. Statements 1-20 measure situational or state anxiety (STAI-S), and </w:t>
      </w:r>
      <w:r w:rsidR="004502FA" w:rsidRPr="00FF1DE5">
        <w:rPr>
          <w:rStyle w:val="BodytextSpacing1pt"/>
          <w:rFonts w:asciiTheme="majorBidi" w:eastAsiaTheme="minorHAnsi" w:hAnsiTheme="majorBidi" w:cstheme="majorBidi"/>
          <w:sz w:val="24"/>
          <w:szCs w:val="24"/>
        </w:rPr>
        <w:t>21-40</w:t>
      </w:r>
      <w:r w:rsidR="004502FA" w:rsidRPr="00FF1DE5">
        <w:rPr>
          <w:rFonts w:asciiTheme="majorBidi" w:hAnsiTheme="majorBidi" w:cstheme="majorBidi"/>
          <w:sz w:val="24"/>
          <w:szCs w:val="24"/>
        </w:rPr>
        <w:t xml:space="preserve"> measure underlying or trait anxiety (STAI-T).</w:t>
      </w:r>
      <w:r w:rsidR="001E53A7" w:rsidRPr="00FF1DE5">
        <w:rPr>
          <w:rFonts w:asciiTheme="majorBidi" w:hAnsiTheme="majorBidi" w:cstheme="majorBidi"/>
          <w:sz w:val="24"/>
          <w:szCs w:val="24"/>
        </w:rPr>
        <w:t xml:space="preserve"> For STAI-S, respondents are asked to indicate "how you feel right now, that is, at this moment". Responses indicate intensity of feeling on a 1 to 4 scale, from "not at all" through </w:t>
      </w:r>
      <w:r w:rsidR="001E53A7" w:rsidRPr="00FF1DE5">
        <w:rPr>
          <w:rFonts w:asciiTheme="majorBidi" w:hAnsiTheme="majorBidi" w:cstheme="majorBidi"/>
          <w:sz w:val="24"/>
          <w:szCs w:val="24"/>
        </w:rPr>
        <w:lastRenderedPageBreak/>
        <w:t xml:space="preserve">"somewhat", “moderately so" to "very much so". For STAI-T the question concerns "how you generally feel" and the response scale indicates frequency: "almost never", "sometimes", "often" and "almost always". After reversing scores for positively-worded items, total scores for STAI-S and STAI-T are calculated, ranging from 20 – 80. Both scales were intended to form </w:t>
      </w:r>
      <w:proofErr w:type="spellStart"/>
      <w:r w:rsidR="001E53A7" w:rsidRPr="00FF1DE5">
        <w:rPr>
          <w:rFonts w:asciiTheme="majorBidi" w:hAnsiTheme="majorBidi" w:cstheme="majorBidi"/>
          <w:sz w:val="24"/>
          <w:szCs w:val="24"/>
        </w:rPr>
        <w:t>uni</w:t>
      </w:r>
      <w:proofErr w:type="spellEnd"/>
      <w:r w:rsidR="001E53A7" w:rsidRPr="00FF1DE5">
        <w:rPr>
          <w:rFonts w:asciiTheme="majorBidi" w:hAnsiTheme="majorBidi" w:cstheme="majorBidi"/>
          <w:sz w:val="24"/>
          <w:szCs w:val="24"/>
        </w:rPr>
        <w:t xml:space="preserve">-dimensional measures. </w:t>
      </w:r>
    </w:p>
    <w:p w:rsidR="00C60A50" w:rsidRPr="00FF1DE5" w:rsidRDefault="00621D73" w:rsidP="00C60A50">
      <w:pPr>
        <w:autoSpaceDE w:val="0"/>
        <w:autoSpaceDN w:val="0"/>
        <w:adjustRightInd w:val="0"/>
        <w:spacing w:line="480" w:lineRule="auto"/>
        <w:jc w:val="both"/>
        <w:rPr>
          <w:rFonts w:asciiTheme="majorBidi" w:hAnsiTheme="majorBidi" w:cstheme="majorBidi"/>
          <w:sz w:val="24"/>
          <w:szCs w:val="24"/>
        </w:rPr>
      </w:pPr>
      <w:r w:rsidRPr="00FF1DE5">
        <w:rPr>
          <w:rFonts w:asciiTheme="majorBidi" w:hAnsiTheme="majorBidi" w:cstheme="majorBidi"/>
          <w:sz w:val="24"/>
          <w:szCs w:val="24"/>
        </w:rPr>
        <w:t xml:space="preserve">In the morning of surgery, while waiting in their room in the surgical ward, patients were asked to complete the 2 STAI forms, i.e. STAI-S and STAI-T. </w:t>
      </w:r>
      <w:r w:rsidR="00C60A50" w:rsidRPr="00FF1DE5">
        <w:rPr>
          <w:rStyle w:val="Bodytext0"/>
          <w:rFonts w:ascii="Times New Roman" w:hAnsi="Times New Roman" w:cs="Times New Roman"/>
          <w:sz w:val="24"/>
          <w:szCs w:val="24"/>
        </w:rPr>
        <w:t xml:space="preserve">On arrival in the operating room, an 18-gauge intravenous (IV) catheter was inserted. A 3-way stopcock was connected to the IV catheter and the </w:t>
      </w:r>
      <w:proofErr w:type="spellStart"/>
      <w:r w:rsidR="00C60A50" w:rsidRPr="00FF1DE5">
        <w:rPr>
          <w:rStyle w:val="Bodytext0"/>
          <w:rFonts w:ascii="Times New Roman" w:hAnsi="Times New Roman" w:cs="Times New Roman"/>
          <w:sz w:val="24"/>
          <w:szCs w:val="24"/>
        </w:rPr>
        <w:t>Propofol</w:t>
      </w:r>
      <w:proofErr w:type="spellEnd"/>
      <w:r w:rsidR="00C60A50" w:rsidRPr="00FF1DE5">
        <w:rPr>
          <w:rStyle w:val="Bodytext0"/>
          <w:rFonts w:ascii="Times New Roman" w:hAnsi="Times New Roman" w:cs="Times New Roman"/>
          <w:sz w:val="24"/>
          <w:szCs w:val="24"/>
        </w:rPr>
        <w:t xml:space="preserve"> infusion was connected. ASA standard monitors were attached. Patients were monitored with non-invasive arterial blood pres</w:t>
      </w:r>
      <w:r w:rsidR="00C60A50" w:rsidRPr="00FF1DE5">
        <w:rPr>
          <w:rStyle w:val="Bodytext0"/>
          <w:rFonts w:ascii="Times New Roman" w:hAnsi="Times New Roman" w:cs="Times New Roman"/>
          <w:sz w:val="24"/>
          <w:szCs w:val="24"/>
        </w:rPr>
        <w:softHyphen/>
        <w:t xml:space="preserve">sure (NIBP), 5-lead electrocardiogram (ECG), </w:t>
      </w:r>
      <w:proofErr w:type="gramStart"/>
      <w:r w:rsidR="00C60A50" w:rsidRPr="00FF1DE5">
        <w:rPr>
          <w:rStyle w:val="Bodytext0"/>
          <w:rFonts w:ascii="Times New Roman" w:hAnsi="Times New Roman" w:cs="Times New Roman"/>
          <w:sz w:val="24"/>
          <w:szCs w:val="24"/>
        </w:rPr>
        <w:t>pulse</w:t>
      </w:r>
      <w:proofErr w:type="gramEnd"/>
      <w:r w:rsidR="00C60A50" w:rsidRPr="00FF1DE5">
        <w:rPr>
          <w:rStyle w:val="Bodytext0"/>
          <w:rFonts w:ascii="Times New Roman" w:hAnsi="Times New Roman" w:cs="Times New Roman"/>
          <w:sz w:val="24"/>
          <w:szCs w:val="24"/>
        </w:rPr>
        <w:t xml:space="preserve"> </w:t>
      </w:r>
      <w:proofErr w:type="spellStart"/>
      <w:r w:rsidR="00C60A50" w:rsidRPr="00FF1DE5">
        <w:rPr>
          <w:rStyle w:val="Bodytext0"/>
          <w:rFonts w:ascii="Times New Roman" w:hAnsi="Times New Roman" w:cs="Times New Roman"/>
          <w:sz w:val="24"/>
          <w:szCs w:val="24"/>
        </w:rPr>
        <w:t>oximetry</w:t>
      </w:r>
      <w:proofErr w:type="spellEnd"/>
      <w:r w:rsidR="00C60A50" w:rsidRPr="00FF1DE5">
        <w:rPr>
          <w:rStyle w:val="Bodytext0"/>
          <w:rFonts w:ascii="Times New Roman" w:hAnsi="Times New Roman" w:cs="Times New Roman"/>
          <w:sz w:val="24"/>
          <w:szCs w:val="24"/>
        </w:rPr>
        <w:t xml:space="preserve"> and temperature probe. No pre-anesthetic medication was given to the patient. </w:t>
      </w:r>
      <w:r w:rsidR="00C60A50" w:rsidRPr="00FF1DE5">
        <w:rPr>
          <w:rFonts w:asciiTheme="majorBidi" w:hAnsiTheme="majorBidi" w:cstheme="majorBidi"/>
          <w:sz w:val="24"/>
          <w:szCs w:val="24"/>
        </w:rPr>
        <w:t>Just before the induction of anesthesia, patients were asked again to complete STAI-S form. Once the patients had completed STAI-S form, HR were measured (</w:t>
      </w:r>
      <w:r w:rsidR="00DC526E" w:rsidRPr="00FF1DE5">
        <w:rPr>
          <w:rFonts w:asciiTheme="majorBidi" w:hAnsiTheme="majorBidi" w:cstheme="majorBidi"/>
          <w:sz w:val="24"/>
          <w:szCs w:val="24"/>
        </w:rPr>
        <w:t>mean of 3 consecutive measurements taken 1 minute apart).</w:t>
      </w:r>
    </w:p>
    <w:p w:rsidR="00444405" w:rsidRPr="00FF1DE5" w:rsidRDefault="00444405" w:rsidP="00F62543">
      <w:pPr>
        <w:autoSpaceDE w:val="0"/>
        <w:autoSpaceDN w:val="0"/>
        <w:adjustRightInd w:val="0"/>
        <w:spacing w:line="480" w:lineRule="auto"/>
        <w:jc w:val="both"/>
        <w:rPr>
          <w:rFonts w:asciiTheme="majorBidi" w:hAnsiTheme="majorBidi" w:cstheme="majorBidi"/>
          <w:sz w:val="24"/>
          <w:szCs w:val="24"/>
        </w:rPr>
      </w:pPr>
      <w:r w:rsidRPr="00FF1DE5">
        <w:rPr>
          <w:rStyle w:val="Bodytext0"/>
          <w:rFonts w:ascii="Times New Roman" w:hAnsi="Times New Roman" w:cs="Times New Roman"/>
          <w:sz w:val="24"/>
          <w:szCs w:val="24"/>
        </w:rPr>
        <w:t xml:space="preserve">General anesthesia was induced with a continuous </w:t>
      </w:r>
      <w:proofErr w:type="spellStart"/>
      <w:r w:rsidRPr="00FF1DE5">
        <w:rPr>
          <w:rStyle w:val="Bodytext0"/>
          <w:rFonts w:ascii="Times New Roman" w:hAnsi="Times New Roman" w:cs="Times New Roman"/>
          <w:sz w:val="24"/>
          <w:szCs w:val="24"/>
        </w:rPr>
        <w:t>Propofol</w:t>
      </w:r>
      <w:proofErr w:type="spellEnd"/>
      <w:r w:rsidRPr="00FF1DE5">
        <w:rPr>
          <w:rStyle w:val="Bodytext0"/>
          <w:rFonts w:ascii="Times New Roman" w:hAnsi="Times New Roman" w:cs="Times New Roman"/>
          <w:sz w:val="24"/>
          <w:szCs w:val="24"/>
        </w:rPr>
        <w:t xml:space="preserve"> infusion (1% </w:t>
      </w:r>
      <w:proofErr w:type="spellStart"/>
      <w:r w:rsidRPr="00FF1DE5">
        <w:rPr>
          <w:rStyle w:val="Bodytext0"/>
          <w:rFonts w:ascii="Times New Roman" w:hAnsi="Times New Roman" w:cs="Times New Roman"/>
          <w:sz w:val="24"/>
          <w:szCs w:val="24"/>
        </w:rPr>
        <w:t>Propofol</w:t>
      </w:r>
      <w:proofErr w:type="spellEnd"/>
      <w:r w:rsidRPr="00FF1DE5">
        <w:rPr>
          <w:rStyle w:val="Bodytext0"/>
          <w:rFonts w:ascii="Times New Roman" w:hAnsi="Times New Roman" w:cs="Times New Roman"/>
          <w:sz w:val="24"/>
          <w:szCs w:val="24"/>
        </w:rPr>
        <w:t xml:space="preserve"> at 200 ml/hr). End</w:t>
      </w:r>
      <w:r w:rsidR="00E906B2" w:rsidRPr="00FF1DE5">
        <w:rPr>
          <w:rStyle w:val="Bodytext0"/>
          <w:rFonts w:ascii="Times New Roman" w:hAnsi="Times New Roman" w:cs="Times New Roman"/>
          <w:sz w:val="24"/>
          <w:szCs w:val="24"/>
        </w:rPr>
        <w:t xml:space="preserve"> </w:t>
      </w:r>
      <w:r w:rsidRPr="00FF1DE5">
        <w:rPr>
          <w:rStyle w:val="Bodytext0"/>
          <w:rFonts w:ascii="Times New Roman" w:hAnsi="Times New Roman" w:cs="Times New Roman"/>
          <w:sz w:val="24"/>
          <w:szCs w:val="24"/>
        </w:rPr>
        <w:t xml:space="preserve">point of induction was defined as loss of verbal response. </w:t>
      </w:r>
      <w:r w:rsidRPr="00FF1DE5">
        <w:rPr>
          <w:rStyle w:val="Bodytext0"/>
          <w:rFonts w:asciiTheme="majorBidi" w:hAnsiTheme="majorBidi" w:cstheme="majorBidi"/>
          <w:sz w:val="24"/>
          <w:szCs w:val="24"/>
        </w:rPr>
        <w:t xml:space="preserve">From the start of </w:t>
      </w:r>
      <w:proofErr w:type="spellStart"/>
      <w:r w:rsidRPr="00FF1DE5">
        <w:rPr>
          <w:rStyle w:val="Bodytext0"/>
          <w:rFonts w:asciiTheme="majorBidi" w:hAnsiTheme="majorBidi" w:cstheme="majorBidi"/>
          <w:sz w:val="24"/>
          <w:szCs w:val="24"/>
        </w:rPr>
        <w:t>Propofol</w:t>
      </w:r>
      <w:proofErr w:type="spellEnd"/>
      <w:r w:rsidRPr="00FF1DE5">
        <w:rPr>
          <w:rStyle w:val="Bodytext0"/>
          <w:rFonts w:asciiTheme="majorBidi" w:hAnsiTheme="majorBidi" w:cstheme="majorBidi"/>
          <w:sz w:val="24"/>
          <w:szCs w:val="24"/>
        </w:rPr>
        <w:t xml:space="preserve"> infusion, patients were asked to say ‘’ONE’’, in a normal voice but without tactile stimulation,</w:t>
      </w:r>
      <w:r w:rsidRPr="00FF1DE5">
        <w:rPr>
          <w:rFonts w:asciiTheme="majorBidi" w:hAnsiTheme="majorBidi" w:cstheme="majorBidi"/>
          <w:sz w:val="24"/>
          <w:szCs w:val="24"/>
        </w:rPr>
        <w:t xml:space="preserve"> each time when we ask to say the word</w:t>
      </w:r>
      <w:r w:rsidRPr="00FF1DE5">
        <w:rPr>
          <w:rStyle w:val="Bodytext0"/>
          <w:rFonts w:asciiTheme="majorBidi" w:hAnsiTheme="majorBidi" w:cstheme="majorBidi"/>
          <w:sz w:val="24"/>
          <w:szCs w:val="24"/>
        </w:rPr>
        <w:t xml:space="preserve">. </w:t>
      </w:r>
      <w:r w:rsidR="00F62543" w:rsidRPr="00FF1DE5">
        <w:rPr>
          <w:rStyle w:val="Bodytext0"/>
          <w:rFonts w:asciiTheme="majorBidi" w:hAnsiTheme="majorBidi" w:cstheme="majorBidi"/>
          <w:sz w:val="24"/>
          <w:szCs w:val="24"/>
        </w:rPr>
        <w:t xml:space="preserve">In this way, verbal response was tested every 15 seconds. </w:t>
      </w:r>
      <w:r w:rsidRPr="00FF1DE5">
        <w:rPr>
          <w:rFonts w:asciiTheme="majorBidi" w:hAnsiTheme="majorBidi" w:cstheme="majorBidi"/>
          <w:sz w:val="24"/>
          <w:szCs w:val="24"/>
        </w:rPr>
        <w:t xml:space="preserve">Immediately the patient first failed to respond, the volume displayed on the pump was recorded as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dose requ</w:t>
      </w:r>
      <w:r w:rsidR="00F62543" w:rsidRPr="00FF1DE5">
        <w:rPr>
          <w:rFonts w:asciiTheme="majorBidi" w:hAnsiTheme="majorBidi" w:cstheme="majorBidi"/>
          <w:sz w:val="24"/>
          <w:szCs w:val="24"/>
        </w:rPr>
        <w:t>ired for induction and the study was terminated</w:t>
      </w:r>
      <w:r w:rsidRPr="00FF1DE5">
        <w:rPr>
          <w:rFonts w:asciiTheme="majorBidi" w:hAnsiTheme="majorBidi" w:cstheme="majorBidi"/>
          <w:sz w:val="24"/>
          <w:szCs w:val="24"/>
        </w:rPr>
        <w:t>.</w:t>
      </w:r>
      <w:r w:rsidR="00F62543" w:rsidRPr="00FF1DE5">
        <w:rPr>
          <w:rFonts w:asciiTheme="majorBidi" w:hAnsiTheme="majorBidi" w:cstheme="majorBidi"/>
          <w:sz w:val="24"/>
          <w:szCs w:val="24"/>
        </w:rPr>
        <w:t xml:space="preserve"> </w:t>
      </w:r>
      <w:proofErr w:type="spellStart"/>
      <w:r w:rsidR="00F62543" w:rsidRPr="00FF1DE5">
        <w:rPr>
          <w:rFonts w:asciiTheme="majorBidi" w:hAnsiTheme="majorBidi" w:cstheme="majorBidi"/>
          <w:sz w:val="24"/>
          <w:szCs w:val="24"/>
        </w:rPr>
        <w:t>Propofol</w:t>
      </w:r>
      <w:proofErr w:type="spellEnd"/>
      <w:r w:rsidR="00F62543" w:rsidRPr="00FF1DE5">
        <w:rPr>
          <w:rFonts w:asciiTheme="majorBidi" w:hAnsiTheme="majorBidi" w:cstheme="majorBidi"/>
          <w:sz w:val="24"/>
          <w:szCs w:val="24"/>
        </w:rPr>
        <w:t xml:space="preserve"> infusion was continued in a maintenance dose (6 mg/kg/hr), </w:t>
      </w:r>
      <w:proofErr w:type="spellStart"/>
      <w:r w:rsidR="00F62543" w:rsidRPr="00FF1DE5">
        <w:rPr>
          <w:rFonts w:asciiTheme="majorBidi" w:hAnsiTheme="majorBidi" w:cstheme="majorBidi"/>
          <w:sz w:val="24"/>
          <w:szCs w:val="24"/>
        </w:rPr>
        <w:t>premedications</w:t>
      </w:r>
      <w:proofErr w:type="spellEnd"/>
      <w:r w:rsidR="00F62543" w:rsidRPr="00FF1DE5">
        <w:rPr>
          <w:rFonts w:asciiTheme="majorBidi" w:hAnsiTheme="majorBidi" w:cstheme="majorBidi"/>
          <w:sz w:val="24"/>
          <w:szCs w:val="24"/>
        </w:rPr>
        <w:t xml:space="preserve"> </w:t>
      </w:r>
      <w:r w:rsidR="00694805" w:rsidRPr="00FF1DE5">
        <w:rPr>
          <w:rFonts w:asciiTheme="majorBidi" w:hAnsiTheme="majorBidi" w:cstheme="majorBidi"/>
          <w:sz w:val="24"/>
          <w:szCs w:val="24"/>
        </w:rPr>
        <w:t>(</w:t>
      </w:r>
      <w:proofErr w:type="spellStart"/>
      <w:r w:rsidR="00694805" w:rsidRPr="00FF1DE5">
        <w:rPr>
          <w:rFonts w:asciiTheme="majorBidi" w:hAnsiTheme="majorBidi" w:cstheme="majorBidi"/>
          <w:sz w:val="24"/>
          <w:szCs w:val="24"/>
        </w:rPr>
        <w:t>opioid</w:t>
      </w:r>
      <w:proofErr w:type="spellEnd"/>
      <w:r w:rsidR="00694805" w:rsidRPr="00FF1DE5">
        <w:rPr>
          <w:rFonts w:asciiTheme="majorBidi" w:hAnsiTheme="majorBidi" w:cstheme="majorBidi"/>
          <w:sz w:val="24"/>
          <w:szCs w:val="24"/>
        </w:rPr>
        <w:t>, anti-</w:t>
      </w:r>
      <w:proofErr w:type="spellStart"/>
      <w:r w:rsidR="00694805" w:rsidRPr="00FF1DE5">
        <w:rPr>
          <w:rFonts w:asciiTheme="majorBidi" w:hAnsiTheme="majorBidi" w:cstheme="majorBidi"/>
          <w:sz w:val="24"/>
          <w:szCs w:val="24"/>
        </w:rPr>
        <w:t>sialogogue</w:t>
      </w:r>
      <w:proofErr w:type="spellEnd"/>
      <w:r w:rsidR="00694805" w:rsidRPr="00FF1DE5">
        <w:rPr>
          <w:rFonts w:asciiTheme="majorBidi" w:hAnsiTheme="majorBidi" w:cstheme="majorBidi"/>
          <w:sz w:val="24"/>
          <w:szCs w:val="24"/>
        </w:rPr>
        <w:t xml:space="preserve"> etc.) </w:t>
      </w:r>
      <w:r w:rsidR="00F62543" w:rsidRPr="00FF1DE5">
        <w:rPr>
          <w:rFonts w:asciiTheme="majorBidi" w:hAnsiTheme="majorBidi" w:cstheme="majorBidi"/>
          <w:sz w:val="24"/>
          <w:szCs w:val="24"/>
        </w:rPr>
        <w:t>given and general anesthesia continued in a standard fashion.</w:t>
      </w:r>
    </w:p>
    <w:p w:rsidR="00F62543" w:rsidRPr="00FF1DE5" w:rsidRDefault="00271895" w:rsidP="00F62543">
      <w:pPr>
        <w:autoSpaceDE w:val="0"/>
        <w:autoSpaceDN w:val="0"/>
        <w:adjustRightInd w:val="0"/>
        <w:spacing w:line="480" w:lineRule="auto"/>
        <w:jc w:val="both"/>
        <w:rPr>
          <w:rFonts w:asciiTheme="majorBidi" w:hAnsiTheme="majorBidi" w:cstheme="majorBidi"/>
          <w:sz w:val="24"/>
          <w:szCs w:val="24"/>
        </w:rPr>
      </w:pPr>
      <w:r w:rsidRPr="00FF1DE5">
        <w:rPr>
          <w:rFonts w:asciiTheme="majorBidi" w:hAnsiTheme="majorBidi" w:cstheme="majorBidi"/>
          <w:sz w:val="24"/>
          <w:szCs w:val="24"/>
        </w:rPr>
        <w:lastRenderedPageBreak/>
        <w:t>During the study, data were collected by an investigator who was blinded for STAI results.</w:t>
      </w:r>
    </w:p>
    <w:p w:rsidR="00027626" w:rsidRPr="008612D8" w:rsidRDefault="00027626" w:rsidP="00954B20">
      <w:pPr>
        <w:spacing w:line="480" w:lineRule="auto"/>
        <w:jc w:val="both"/>
        <w:rPr>
          <w:rStyle w:val="SubtleEmphasis"/>
          <w:rFonts w:asciiTheme="majorBidi" w:hAnsiTheme="majorBidi" w:cstheme="majorBidi"/>
          <w:i w:val="0"/>
          <w:iCs w:val="0"/>
          <w:color w:val="000000" w:themeColor="text1"/>
        </w:rPr>
      </w:pPr>
    </w:p>
    <w:p w:rsidR="00F871CB" w:rsidRPr="00FF1DE5" w:rsidRDefault="00F871CB" w:rsidP="006370A8">
      <w:pPr>
        <w:spacing w:before="240" w:line="480" w:lineRule="auto"/>
        <w:jc w:val="both"/>
        <w:rPr>
          <w:rStyle w:val="SubtleEmphasis"/>
          <w:rFonts w:asciiTheme="majorBidi" w:hAnsiTheme="majorBidi" w:cstheme="majorBidi"/>
          <w:bCs/>
          <w:iCs w:val="0"/>
          <w:color w:val="0D0D0D" w:themeColor="text1" w:themeTint="F2"/>
          <w:sz w:val="24"/>
          <w:szCs w:val="24"/>
        </w:rPr>
      </w:pPr>
      <w:r w:rsidRPr="00FF1DE5">
        <w:rPr>
          <w:rStyle w:val="SubtleEmphasis"/>
          <w:rFonts w:asciiTheme="majorBidi" w:hAnsiTheme="majorBidi" w:cstheme="majorBidi"/>
          <w:bCs/>
          <w:iCs w:val="0"/>
          <w:color w:val="0D0D0D" w:themeColor="text1" w:themeTint="F2"/>
          <w:sz w:val="24"/>
          <w:szCs w:val="24"/>
        </w:rPr>
        <w:t>STATSTICAL ANALYSIS</w:t>
      </w:r>
    </w:p>
    <w:p w:rsidR="00F74E29" w:rsidRPr="00FF1DE5" w:rsidRDefault="00F9554D" w:rsidP="00F74E29">
      <w:pPr>
        <w:spacing w:line="480" w:lineRule="auto"/>
        <w:jc w:val="both"/>
        <w:rPr>
          <w:rStyle w:val="SubtleEmphasis"/>
          <w:rFonts w:ascii="Times New Roman" w:hAnsi="Times New Roman" w:cs="Times New Roman"/>
          <w:bCs/>
          <w:i w:val="0"/>
          <w:iCs w:val="0"/>
          <w:color w:val="0D0D0D" w:themeColor="text1" w:themeTint="F2"/>
          <w:sz w:val="24"/>
          <w:szCs w:val="24"/>
        </w:rPr>
      </w:pPr>
      <w:r w:rsidRPr="00FF1DE5">
        <w:rPr>
          <w:rFonts w:asciiTheme="majorBidi" w:hAnsiTheme="majorBidi" w:cstheme="majorBidi"/>
          <w:sz w:val="24"/>
          <w:szCs w:val="24"/>
        </w:rPr>
        <w:t xml:space="preserve">Continuous numerical data were expressed as median, inter-quartile range and range (extreme values). Analysis was conducted with </w:t>
      </w:r>
      <w:r w:rsidRPr="00FF1DE5">
        <w:rPr>
          <w:rFonts w:asciiTheme="majorBidi" w:hAnsiTheme="majorBidi" w:cstheme="majorBidi"/>
          <w:color w:val="000000" w:themeColor="text1"/>
          <w:sz w:val="24"/>
          <w:szCs w:val="24"/>
          <w:shd w:val="clear" w:color="auto" w:fill="FFFFFF"/>
        </w:rPr>
        <w:t>SPSS software version 18.0 (</w:t>
      </w:r>
      <w:r w:rsidRPr="00FF1DE5">
        <w:rPr>
          <w:rStyle w:val="Emphasis"/>
          <w:rFonts w:asciiTheme="majorBidi" w:hAnsiTheme="majorBidi" w:cstheme="majorBidi"/>
          <w:i w:val="0"/>
          <w:iCs w:val="0"/>
          <w:color w:val="000000" w:themeColor="text1"/>
          <w:sz w:val="24"/>
          <w:szCs w:val="24"/>
          <w:shd w:val="clear" w:color="auto" w:fill="FFFFFF"/>
        </w:rPr>
        <w:t>SPSS Inc</w:t>
      </w:r>
      <w:r w:rsidRPr="00FF1DE5">
        <w:rPr>
          <w:rFonts w:asciiTheme="majorBidi" w:hAnsiTheme="majorBidi" w:cstheme="majorBidi"/>
          <w:color w:val="000000" w:themeColor="text1"/>
          <w:sz w:val="24"/>
          <w:szCs w:val="24"/>
          <w:shd w:val="clear" w:color="auto" w:fill="FFFFFF"/>
        </w:rPr>
        <w:t>.,</w:t>
      </w:r>
      <w:r w:rsidRPr="00FF1DE5">
        <w:rPr>
          <w:rStyle w:val="apple-converted-space"/>
          <w:rFonts w:asciiTheme="majorBidi" w:hAnsiTheme="majorBidi" w:cstheme="majorBidi"/>
          <w:color w:val="000000" w:themeColor="text1"/>
          <w:sz w:val="24"/>
          <w:szCs w:val="24"/>
          <w:shd w:val="clear" w:color="auto" w:fill="FFFFFF"/>
        </w:rPr>
        <w:t> </w:t>
      </w:r>
      <w:r w:rsidRPr="00FF1DE5">
        <w:rPr>
          <w:rStyle w:val="Emphasis"/>
          <w:rFonts w:asciiTheme="majorBidi" w:hAnsiTheme="majorBidi" w:cstheme="majorBidi"/>
          <w:i w:val="0"/>
          <w:iCs w:val="0"/>
          <w:color w:val="000000" w:themeColor="text1"/>
          <w:sz w:val="24"/>
          <w:szCs w:val="24"/>
          <w:shd w:val="clear" w:color="auto" w:fill="FFFFFF"/>
        </w:rPr>
        <w:t>Chicago, Illinois</w:t>
      </w:r>
      <w:r w:rsidRPr="00FF1DE5">
        <w:rPr>
          <w:rFonts w:asciiTheme="majorBidi" w:hAnsiTheme="majorBidi" w:cstheme="majorBidi"/>
          <w:color w:val="000000" w:themeColor="text1"/>
          <w:sz w:val="24"/>
          <w:szCs w:val="24"/>
          <w:shd w:val="clear" w:color="auto" w:fill="FFFFFF"/>
        </w:rPr>
        <w:t>,</w:t>
      </w:r>
      <w:r w:rsidRPr="00FF1DE5">
        <w:rPr>
          <w:rStyle w:val="apple-converted-space"/>
          <w:rFonts w:asciiTheme="majorBidi" w:hAnsiTheme="majorBidi" w:cstheme="majorBidi"/>
          <w:color w:val="000000" w:themeColor="text1"/>
          <w:sz w:val="24"/>
          <w:szCs w:val="24"/>
          <w:shd w:val="clear" w:color="auto" w:fill="FFFFFF"/>
        </w:rPr>
        <w:t> </w:t>
      </w:r>
      <w:r w:rsidRPr="00FF1DE5">
        <w:rPr>
          <w:rStyle w:val="Emphasis"/>
          <w:rFonts w:asciiTheme="majorBidi" w:hAnsiTheme="majorBidi" w:cstheme="majorBidi"/>
          <w:i w:val="0"/>
          <w:iCs w:val="0"/>
          <w:color w:val="000000" w:themeColor="text1"/>
          <w:sz w:val="24"/>
          <w:szCs w:val="24"/>
          <w:shd w:val="clear" w:color="auto" w:fill="FFFFFF"/>
        </w:rPr>
        <w:t>USA</w:t>
      </w:r>
      <w:r w:rsidRPr="00FF1DE5">
        <w:rPr>
          <w:rFonts w:asciiTheme="majorBidi" w:hAnsiTheme="majorBidi" w:cstheme="majorBidi"/>
          <w:color w:val="000000" w:themeColor="text1"/>
          <w:sz w:val="24"/>
          <w:szCs w:val="24"/>
          <w:shd w:val="clear" w:color="auto" w:fill="FFFFFF"/>
        </w:rPr>
        <w:t>)</w:t>
      </w:r>
      <w:r w:rsidRPr="00FF1DE5">
        <w:rPr>
          <w:rStyle w:val="SubtleEmphasis"/>
          <w:rFonts w:asciiTheme="majorBidi" w:hAnsiTheme="majorBidi" w:cstheme="majorBidi"/>
          <w:bCs/>
          <w:i w:val="0"/>
          <w:iCs w:val="0"/>
          <w:color w:val="000000" w:themeColor="text1"/>
          <w:sz w:val="24"/>
          <w:szCs w:val="24"/>
        </w:rPr>
        <w:t>. Associations between STAI-T</w:t>
      </w:r>
      <w:r w:rsidR="00F74E29" w:rsidRPr="00FF1DE5">
        <w:rPr>
          <w:rStyle w:val="SubtleEmphasis"/>
          <w:rFonts w:asciiTheme="majorBidi" w:hAnsiTheme="majorBidi" w:cstheme="majorBidi"/>
          <w:bCs/>
          <w:i w:val="0"/>
          <w:iCs w:val="0"/>
          <w:color w:val="000000" w:themeColor="text1"/>
          <w:sz w:val="24"/>
          <w:szCs w:val="24"/>
        </w:rPr>
        <w:t xml:space="preserve"> and STAI-S in the waiting room,</w:t>
      </w:r>
      <w:r w:rsidRPr="00FF1DE5">
        <w:rPr>
          <w:rStyle w:val="SubtleEmphasis"/>
          <w:rFonts w:asciiTheme="majorBidi" w:hAnsiTheme="majorBidi" w:cstheme="majorBidi"/>
          <w:bCs/>
          <w:i w:val="0"/>
          <w:iCs w:val="0"/>
          <w:color w:val="000000" w:themeColor="text1"/>
          <w:sz w:val="24"/>
          <w:szCs w:val="24"/>
        </w:rPr>
        <w:t xml:space="preserve"> STAI-S and HR in the operating room versus </w:t>
      </w:r>
      <w:proofErr w:type="spellStart"/>
      <w:r w:rsidRPr="00FF1DE5">
        <w:rPr>
          <w:rStyle w:val="SubtleEmphasis"/>
          <w:rFonts w:asciiTheme="majorBidi" w:hAnsiTheme="majorBidi" w:cstheme="majorBidi"/>
          <w:bCs/>
          <w:i w:val="0"/>
          <w:iCs w:val="0"/>
          <w:color w:val="000000" w:themeColor="text1"/>
          <w:sz w:val="24"/>
          <w:szCs w:val="24"/>
        </w:rPr>
        <w:t>Propofol</w:t>
      </w:r>
      <w:proofErr w:type="spellEnd"/>
      <w:r w:rsidRPr="00FF1DE5">
        <w:rPr>
          <w:rStyle w:val="SubtleEmphasis"/>
          <w:rFonts w:asciiTheme="majorBidi" w:hAnsiTheme="majorBidi" w:cstheme="majorBidi"/>
          <w:bCs/>
          <w:i w:val="0"/>
          <w:iCs w:val="0"/>
          <w:color w:val="000000" w:themeColor="text1"/>
          <w:sz w:val="24"/>
          <w:szCs w:val="24"/>
        </w:rPr>
        <w:t xml:space="preserve"> dose for induction </w:t>
      </w:r>
      <w:r w:rsidR="00F74E29" w:rsidRPr="00FF1DE5">
        <w:rPr>
          <w:rFonts w:asciiTheme="majorBidi" w:hAnsiTheme="majorBidi" w:cstheme="majorBidi"/>
          <w:sz w:val="24"/>
          <w:szCs w:val="24"/>
        </w:rPr>
        <w:t xml:space="preserve">were studied with the Spearman test. Association between STAI-S in the operating room versus HR was also studied with the Spearman test. All tests were two tailed. </w:t>
      </w:r>
      <w:r w:rsidR="00F74E29" w:rsidRPr="00FF1DE5">
        <w:rPr>
          <w:rStyle w:val="SubtleEmphasis"/>
          <w:rFonts w:ascii="Times New Roman" w:hAnsi="Times New Roman" w:cs="Times New Roman"/>
          <w:bCs/>
          <w:i w:val="0"/>
          <w:iCs w:val="0"/>
          <w:color w:val="0D0D0D" w:themeColor="text1" w:themeTint="F2"/>
          <w:sz w:val="24"/>
          <w:szCs w:val="24"/>
        </w:rPr>
        <w:t xml:space="preserve">A </w:t>
      </w:r>
      <w:r w:rsidR="00F74E29" w:rsidRPr="00FF1DE5">
        <w:rPr>
          <w:rStyle w:val="SubtleEmphasis"/>
          <w:rFonts w:ascii="Times New Roman" w:hAnsi="Times New Roman" w:cs="Times New Roman"/>
          <w:bCs/>
          <w:color w:val="0D0D0D" w:themeColor="text1" w:themeTint="F2"/>
          <w:sz w:val="24"/>
          <w:szCs w:val="24"/>
        </w:rPr>
        <w:t>p</w:t>
      </w:r>
      <w:r w:rsidR="00F74E29" w:rsidRPr="00FF1DE5">
        <w:rPr>
          <w:rStyle w:val="SubtleEmphasis"/>
          <w:rFonts w:ascii="Times New Roman" w:hAnsi="Times New Roman" w:cs="Times New Roman"/>
          <w:bCs/>
          <w:i w:val="0"/>
          <w:iCs w:val="0"/>
          <w:color w:val="0D0D0D" w:themeColor="text1" w:themeTint="F2"/>
          <w:sz w:val="24"/>
          <w:szCs w:val="24"/>
        </w:rPr>
        <w:t xml:space="preserve"> value of less than 0.05 was considered as statistically ‘significant’ (</w:t>
      </w:r>
      <w:r w:rsidR="00F74E29" w:rsidRPr="00FF1DE5">
        <w:rPr>
          <w:rStyle w:val="SubtleEmphasis"/>
          <w:rFonts w:ascii="Times New Roman" w:hAnsi="Times New Roman" w:cs="Times New Roman"/>
          <w:bCs/>
          <w:iCs w:val="0"/>
          <w:color w:val="0D0D0D" w:themeColor="text1" w:themeTint="F2"/>
          <w:sz w:val="24"/>
          <w:szCs w:val="24"/>
        </w:rPr>
        <w:t>p</w:t>
      </w:r>
      <w:r w:rsidR="00F74E29" w:rsidRPr="00FF1DE5">
        <w:rPr>
          <w:rStyle w:val="SubtleEmphasis"/>
          <w:rFonts w:ascii="Times New Roman" w:hAnsi="Times New Roman" w:cs="Times New Roman"/>
          <w:bCs/>
          <w:i w:val="0"/>
          <w:iCs w:val="0"/>
          <w:color w:val="0D0D0D" w:themeColor="text1" w:themeTint="F2"/>
          <w:sz w:val="24"/>
          <w:szCs w:val="24"/>
        </w:rPr>
        <w:t xml:space="preserve"> &lt; 0.05).</w:t>
      </w:r>
    </w:p>
    <w:p w:rsidR="00B72110" w:rsidRDefault="00B72110" w:rsidP="00F74E29">
      <w:pPr>
        <w:spacing w:line="480" w:lineRule="auto"/>
        <w:jc w:val="both"/>
        <w:rPr>
          <w:rStyle w:val="SubtleEmphasis"/>
          <w:rFonts w:ascii="Times New Roman" w:hAnsi="Times New Roman" w:cs="Times New Roman"/>
          <w:bCs/>
          <w:i w:val="0"/>
          <w:iCs w:val="0"/>
          <w:color w:val="0D0D0D" w:themeColor="text1" w:themeTint="F2"/>
        </w:rPr>
      </w:pPr>
    </w:p>
    <w:p w:rsidR="00E633CA" w:rsidRPr="00FF1DE5" w:rsidRDefault="00E633CA" w:rsidP="006370A8">
      <w:pPr>
        <w:spacing w:before="240" w:line="480" w:lineRule="auto"/>
        <w:jc w:val="both"/>
        <w:rPr>
          <w:rStyle w:val="SubtleEmphasis"/>
          <w:rFonts w:asciiTheme="majorBidi" w:hAnsiTheme="majorBidi" w:cstheme="majorBidi"/>
          <w:bCs/>
          <w:iCs w:val="0"/>
          <w:color w:val="0D0D0D" w:themeColor="text1" w:themeTint="F2"/>
          <w:sz w:val="24"/>
          <w:szCs w:val="24"/>
        </w:rPr>
      </w:pPr>
      <w:r w:rsidRPr="00FF1DE5">
        <w:rPr>
          <w:rStyle w:val="SubtleEmphasis"/>
          <w:rFonts w:asciiTheme="majorBidi" w:hAnsiTheme="majorBidi" w:cstheme="majorBidi"/>
          <w:bCs/>
          <w:iCs w:val="0"/>
          <w:color w:val="0D0D0D" w:themeColor="text1" w:themeTint="F2"/>
          <w:sz w:val="24"/>
          <w:szCs w:val="24"/>
        </w:rPr>
        <w:t>RESULTS</w:t>
      </w:r>
    </w:p>
    <w:p w:rsidR="003B3C0F" w:rsidRPr="00FF1DE5" w:rsidRDefault="003B3C0F" w:rsidP="003B3C0F">
      <w:pPr>
        <w:spacing w:before="240" w:line="480" w:lineRule="auto"/>
        <w:jc w:val="both"/>
        <w:rPr>
          <w:rFonts w:asciiTheme="majorBidi" w:hAnsiTheme="majorBidi" w:cstheme="majorBidi"/>
          <w:sz w:val="24"/>
          <w:szCs w:val="24"/>
        </w:rPr>
      </w:pPr>
      <w:r w:rsidRPr="00FF1DE5">
        <w:rPr>
          <w:rStyle w:val="SubtleEmphasis"/>
          <w:rFonts w:asciiTheme="majorBidi" w:hAnsiTheme="majorBidi" w:cstheme="majorBidi"/>
          <w:i w:val="0"/>
          <w:iCs w:val="0"/>
          <w:color w:val="0D0D0D" w:themeColor="text1" w:themeTint="F2"/>
          <w:sz w:val="24"/>
          <w:szCs w:val="24"/>
        </w:rPr>
        <w:t xml:space="preserve">Total </w:t>
      </w:r>
      <w:r w:rsidRPr="00FF1DE5">
        <w:rPr>
          <w:rFonts w:asciiTheme="majorBidi" w:hAnsiTheme="majorBidi" w:cstheme="majorBidi"/>
          <w:color w:val="0D0D0D" w:themeColor="text1" w:themeTint="F2"/>
          <w:sz w:val="24"/>
          <w:szCs w:val="24"/>
        </w:rPr>
        <w:t>42 patients, 13 male and 29 female, aged between 18 to 50 years</w:t>
      </w:r>
      <w:r w:rsidRPr="00FF1DE5">
        <w:rPr>
          <w:rStyle w:val="SubtleEmphasis"/>
          <w:rFonts w:asciiTheme="majorBidi" w:hAnsiTheme="majorBidi" w:cstheme="majorBidi"/>
          <w:i w:val="0"/>
          <w:iCs w:val="0"/>
          <w:color w:val="auto"/>
          <w:sz w:val="24"/>
          <w:szCs w:val="24"/>
        </w:rPr>
        <w:t>,</w:t>
      </w:r>
      <w:r w:rsidRPr="00FF1DE5">
        <w:rPr>
          <w:rFonts w:asciiTheme="majorBidi" w:hAnsiTheme="majorBidi" w:cstheme="majorBidi"/>
          <w:sz w:val="24"/>
          <w:szCs w:val="24"/>
        </w:rPr>
        <w:t xml:space="preserve"> were enrolled in this study. There characteristics are presented in ‘table 1’ as median, inter-quartile range and range. No patient was excluded from the study.</w:t>
      </w:r>
    </w:p>
    <w:p w:rsidR="00850B90" w:rsidRPr="00FF1DE5" w:rsidRDefault="00850B90" w:rsidP="00850B90">
      <w:pPr>
        <w:spacing w:before="437" w:line="480" w:lineRule="auto"/>
        <w:ind w:right="4"/>
        <w:jc w:val="both"/>
        <w:rPr>
          <w:rFonts w:asciiTheme="majorBidi" w:hAnsiTheme="majorBidi" w:cstheme="majorBidi"/>
          <w:sz w:val="24"/>
          <w:szCs w:val="24"/>
        </w:rPr>
      </w:pPr>
      <w:r w:rsidRPr="00FF1DE5">
        <w:rPr>
          <w:rStyle w:val="Bodytext0"/>
          <w:rFonts w:asciiTheme="majorBidi" w:hAnsiTheme="majorBidi" w:cstheme="majorBidi"/>
          <w:sz w:val="24"/>
          <w:szCs w:val="24"/>
        </w:rPr>
        <w:t xml:space="preserve">STAI forms were measured in the waiting room in the ward (both STAI-T and STAI-S), again just before the operation (STAI-S only) with a time gap of 2 hours. All the patients were given exactly 2 hrs gap between these </w:t>
      </w:r>
      <w:r w:rsidR="009F0951" w:rsidRPr="00FF1DE5">
        <w:rPr>
          <w:rStyle w:val="Bodytext0"/>
          <w:rFonts w:asciiTheme="majorBidi" w:hAnsiTheme="majorBidi" w:cstheme="majorBidi"/>
          <w:sz w:val="24"/>
          <w:szCs w:val="24"/>
        </w:rPr>
        <w:t>two</w:t>
      </w:r>
      <w:r w:rsidRPr="00FF1DE5">
        <w:rPr>
          <w:rStyle w:val="Bodytext0"/>
          <w:rFonts w:asciiTheme="majorBidi" w:hAnsiTheme="majorBidi" w:cstheme="majorBidi"/>
          <w:sz w:val="24"/>
          <w:szCs w:val="24"/>
        </w:rPr>
        <w:t xml:space="preserve"> measurements. Upon induction, the med</w:t>
      </w:r>
      <w:r w:rsidR="009F0951" w:rsidRPr="00FF1DE5">
        <w:rPr>
          <w:rStyle w:val="Bodytext0"/>
          <w:rFonts w:asciiTheme="majorBidi" w:hAnsiTheme="majorBidi" w:cstheme="majorBidi"/>
          <w:sz w:val="24"/>
          <w:szCs w:val="24"/>
        </w:rPr>
        <w:t xml:space="preserve">ian </w:t>
      </w:r>
      <w:proofErr w:type="spellStart"/>
      <w:r w:rsidR="009F0951" w:rsidRPr="00FF1DE5">
        <w:rPr>
          <w:rStyle w:val="Bodytext0"/>
          <w:rFonts w:asciiTheme="majorBidi" w:hAnsiTheme="majorBidi" w:cstheme="majorBidi"/>
          <w:sz w:val="24"/>
          <w:szCs w:val="24"/>
        </w:rPr>
        <w:t>propofol</w:t>
      </w:r>
      <w:proofErr w:type="spellEnd"/>
      <w:r w:rsidR="009F0951" w:rsidRPr="00FF1DE5">
        <w:rPr>
          <w:rStyle w:val="Bodytext0"/>
          <w:rFonts w:asciiTheme="majorBidi" w:hAnsiTheme="majorBidi" w:cstheme="majorBidi"/>
          <w:sz w:val="24"/>
          <w:szCs w:val="24"/>
        </w:rPr>
        <w:t xml:space="preserve"> dose was 110 mg (inter-quartile</w:t>
      </w:r>
      <w:r w:rsidRPr="00FF1DE5">
        <w:rPr>
          <w:rStyle w:val="Bodytext0"/>
          <w:rFonts w:asciiTheme="majorBidi" w:hAnsiTheme="majorBidi" w:cstheme="majorBidi"/>
          <w:sz w:val="24"/>
          <w:szCs w:val="24"/>
        </w:rPr>
        <w:t xml:space="preserve"> range 100-124 mg; range: 72-142 mg).</w:t>
      </w:r>
    </w:p>
    <w:p w:rsidR="00850B90" w:rsidRPr="00FF1DE5" w:rsidRDefault="009F0951" w:rsidP="009F0951">
      <w:pPr>
        <w:spacing w:after="97" w:line="480" w:lineRule="auto"/>
        <w:ind w:right="4"/>
        <w:jc w:val="both"/>
        <w:rPr>
          <w:rStyle w:val="Bodytext11"/>
          <w:rFonts w:asciiTheme="majorBidi" w:hAnsiTheme="majorBidi" w:cstheme="majorBidi"/>
          <w:sz w:val="24"/>
          <w:szCs w:val="24"/>
        </w:rPr>
      </w:pPr>
      <w:r w:rsidRPr="00FF1DE5">
        <w:rPr>
          <w:rFonts w:asciiTheme="majorBidi" w:hAnsiTheme="majorBidi" w:cstheme="majorBidi"/>
          <w:sz w:val="24"/>
          <w:szCs w:val="24"/>
        </w:rPr>
        <w:lastRenderedPageBreak/>
        <w:t>‘T</w:t>
      </w:r>
      <w:r w:rsidR="00850B90" w:rsidRPr="00FF1DE5">
        <w:rPr>
          <w:rFonts w:asciiTheme="majorBidi" w:hAnsiTheme="majorBidi" w:cstheme="majorBidi"/>
          <w:sz w:val="24"/>
          <w:szCs w:val="24"/>
        </w:rPr>
        <w:t xml:space="preserve">able </w:t>
      </w:r>
      <w:r w:rsidRPr="00FF1DE5">
        <w:rPr>
          <w:rFonts w:asciiTheme="majorBidi" w:hAnsiTheme="majorBidi" w:cstheme="majorBidi"/>
          <w:sz w:val="24"/>
          <w:szCs w:val="24"/>
        </w:rPr>
        <w:t xml:space="preserve">2’ </w:t>
      </w:r>
      <w:r w:rsidR="00850B90" w:rsidRPr="00FF1DE5">
        <w:rPr>
          <w:rFonts w:asciiTheme="majorBidi" w:hAnsiTheme="majorBidi" w:cstheme="majorBidi"/>
          <w:sz w:val="24"/>
          <w:szCs w:val="24"/>
        </w:rPr>
        <w:t xml:space="preserve">shows the </w:t>
      </w:r>
      <w:r w:rsidR="00850B90" w:rsidRPr="00FF1DE5">
        <w:rPr>
          <w:rStyle w:val="Bodytext11"/>
          <w:rFonts w:asciiTheme="majorBidi" w:hAnsiTheme="majorBidi" w:cstheme="majorBidi"/>
          <w:sz w:val="24"/>
          <w:szCs w:val="24"/>
        </w:rPr>
        <w:t>as</w:t>
      </w:r>
      <w:r w:rsidRPr="00FF1DE5">
        <w:rPr>
          <w:rStyle w:val="Bodytext11"/>
          <w:rFonts w:asciiTheme="majorBidi" w:hAnsiTheme="majorBidi" w:cstheme="majorBidi"/>
          <w:sz w:val="24"/>
          <w:szCs w:val="24"/>
        </w:rPr>
        <w:t>sociation between the STAI-T</w:t>
      </w:r>
      <w:r w:rsidR="00850B90" w:rsidRPr="00FF1DE5">
        <w:rPr>
          <w:rStyle w:val="Bodytext11"/>
          <w:rFonts w:asciiTheme="majorBidi" w:hAnsiTheme="majorBidi" w:cstheme="majorBidi"/>
          <w:sz w:val="24"/>
          <w:szCs w:val="24"/>
        </w:rPr>
        <w:t xml:space="preserve"> in the waiting roo</w:t>
      </w:r>
      <w:r w:rsidRPr="00FF1DE5">
        <w:rPr>
          <w:rStyle w:val="Bodytext11"/>
          <w:rFonts w:asciiTheme="majorBidi" w:hAnsiTheme="majorBidi" w:cstheme="majorBidi"/>
          <w:sz w:val="24"/>
          <w:szCs w:val="24"/>
        </w:rPr>
        <w:t>m, STAI-S in the waiting room, STAI-S</w:t>
      </w:r>
      <w:r w:rsidR="00850B90" w:rsidRPr="00FF1DE5">
        <w:rPr>
          <w:rStyle w:val="Bodytext11"/>
          <w:rFonts w:asciiTheme="majorBidi" w:hAnsiTheme="majorBidi" w:cstheme="majorBidi"/>
          <w:sz w:val="24"/>
          <w:szCs w:val="24"/>
        </w:rPr>
        <w:t xml:space="preserve"> in the operating room </w:t>
      </w:r>
      <w:r w:rsidRPr="00FF1DE5">
        <w:rPr>
          <w:rStyle w:val="Bodytext11"/>
          <w:rFonts w:asciiTheme="majorBidi" w:hAnsiTheme="majorBidi" w:cstheme="majorBidi"/>
          <w:sz w:val="24"/>
          <w:szCs w:val="24"/>
        </w:rPr>
        <w:t>and HR</w:t>
      </w:r>
      <w:r w:rsidR="00850B90" w:rsidRPr="00FF1DE5">
        <w:rPr>
          <w:rStyle w:val="Bodytext11"/>
          <w:rFonts w:asciiTheme="majorBidi" w:hAnsiTheme="majorBidi" w:cstheme="majorBidi"/>
          <w:sz w:val="24"/>
          <w:szCs w:val="24"/>
        </w:rPr>
        <w:t xml:space="preserve"> in the operating room with the </w:t>
      </w:r>
      <w:proofErr w:type="spellStart"/>
      <w:r w:rsidR="00850B90" w:rsidRPr="00FF1DE5">
        <w:rPr>
          <w:rStyle w:val="Bodytext11"/>
          <w:rFonts w:asciiTheme="majorBidi" w:hAnsiTheme="majorBidi" w:cstheme="majorBidi"/>
          <w:sz w:val="24"/>
          <w:szCs w:val="24"/>
        </w:rPr>
        <w:t>pr</w:t>
      </w:r>
      <w:r w:rsidRPr="00FF1DE5">
        <w:rPr>
          <w:rStyle w:val="Bodytext11"/>
          <w:rFonts w:asciiTheme="majorBidi" w:hAnsiTheme="majorBidi" w:cstheme="majorBidi"/>
          <w:sz w:val="24"/>
          <w:szCs w:val="24"/>
        </w:rPr>
        <w:t>opofol</w:t>
      </w:r>
      <w:proofErr w:type="spellEnd"/>
      <w:r w:rsidRPr="00FF1DE5">
        <w:rPr>
          <w:rStyle w:val="Bodytext11"/>
          <w:rFonts w:asciiTheme="majorBidi" w:hAnsiTheme="majorBidi" w:cstheme="majorBidi"/>
          <w:sz w:val="24"/>
          <w:szCs w:val="24"/>
        </w:rPr>
        <w:t xml:space="preserve"> dose required </w:t>
      </w:r>
      <w:r w:rsidR="00850B90" w:rsidRPr="00FF1DE5">
        <w:rPr>
          <w:rStyle w:val="Bodytext11"/>
          <w:rFonts w:asciiTheme="majorBidi" w:hAnsiTheme="majorBidi" w:cstheme="majorBidi"/>
          <w:sz w:val="24"/>
          <w:szCs w:val="24"/>
        </w:rPr>
        <w:t>f</w:t>
      </w:r>
      <w:r w:rsidRPr="00FF1DE5">
        <w:rPr>
          <w:rStyle w:val="Bodytext11"/>
          <w:rFonts w:asciiTheme="majorBidi" w:hAnsiTheme="majorBidi" w:cstheme="majorBidi"/>
          <w:sz w:val="24"/>
          <w:szCs w:val="24"/>
        </w:rPr>
        <w:t>or</w:t>
      </w:r>
      <w:r w:rsidR="00850B90" w:rsidRPr="00FF1DE5">
        <w:rPr>
          <w:rStyle w:val="Bodytext11"/>
          <w:rFonts w:asciiTheme="majorBidi" w:hAnsiTheme="majorBidi" w:cstheme="majorBidi"/>
          <w:sz w:val="24"/>
          <w:szCs w:val="24"/>
        </w:rPr>
        <w:t xml:space="preserve"> induction.</w:t>
      </w:r>
    </w:p>
    <w:p w:rsidR="00B72110" w:rsidRDefault="00DE6470" w:rsidP="00D83650">
      <w:pPr>
        <w:spacing w:after="97" w:line="480" w:lineRule="auto"/>
        <w:ind w:right="4"/>
        <w:jc w:val="both"/>
        <w:rPr>
          <w:rStyle w:val="Bodytext11"/>
          <w:rFonts w:asciiTheme="majorBidi" w:hAnsiTheme="majorBidi" w:cstheme="majorBidi"/>
          <w:bCs/>
          <w:sz w:val="24"/>
          <w:szCs w:val="24"/>
        </w:rPr>
      </w:pPr>
      <w:r w:rsidRPr="00FF1DE5">
        <w:rPr>
          <w:rStyle w:val="Bodytext11"/>
          <w:rFonts w:asciiTheme="majorBidi" w:hAnsiTheme="majorBidi" w:cstheme="majorBidi"/>
          <w:bCs/>
          <w:sz w:val="24"/>
          <w:szCs w:val="24"/>
        </w:rPr>
        <w:t xml:space="preserve">While STAI-T in the waiting room showed a strong positive correlation with </w:t>
      </w:r>
      <w:proofErr w:type="spellStart"/>
      <w:r w:rsidRPr="00FF1DE5">
        <w:rPr>
          <w:rStyle w:val="Bodytext11"/>
          <w:rFonts w:asciiTheme="majorBidi" w:hAnsiTheme="majorBidi" w:cstheme="majorBidi"/>
          <w:bCs/>
          <w:sz w:val="24"/>
          <w:szCs w:val="24"/>
        </w:rPr>
        <w:t>Propofol</w:t>
      </w:r>
      <w:proofErr w:type="spellEnd"/>
      <w:r w:rsidRPr="00FF1DE5">
        <w:rPr>
          <w:rStyle w:val="Bodytext11"/>
          <w:rFonts w:asciiTheme="majorBidi" w:hAnsiTheme="majorBidi" w:cstheme="majorBidi"/>
          <w:bCs/>
          <w:sz w:val="24"/>
          <w:szCs w:val="24"/>
        </w:rPr>
        <w:t xml:space="preserve"> dose required for induction</w:t>
      </w:r>
      <w:r w:rsidR="006B25F2" w:rsidRPr="00FF1DE5">
        <w:rPr>
          <w:rStyle w:val="Bodytext11"/>
          <w:rFonts w:asciiTheme="majorBidi" w:hAnsiTheme="majorBidi" w:cstheme="majorBidi"/>
          <w:bCs/>
          <w:sz w:val="24"/>
          <w:szCs w:val="24"/>
        </w:rPr>
        <w:t xml:space="preserve"> (figure 1)</w:t>
      </w:r>
      <w:r w:rsidRPr="00FF1DE5">
        <w:rPr>
          <w:rStyle w:val="Bodytext11"/>
          <w:rFonts w:asciiTheme="majorBidi" w:hAnsiTheme="majorBidi" w:cstheme="majorBidi"/>
          <w:bCs/>
          <w:sz w:val="24"/>
          <w:szCs w:val="24"/>
        </w:rPr>
        <w:t>, STAI-S had no significant positive correlation, both in the waiting room and in the operating room</w:t>
      </w:r>
      <w:r w:rsidR="006B25F2" w:rsidRPr="00FF1DE5">
        <w:rPr>
          <w:rStyle w:val="Bodytext11"/>
          <w:rFonts w:asciiTheme="majorBidi" w:hAnsiTheme="majorBidi" w:cstheme="majorBidi"/>
          <w:bCs/>
          <w:sz w:val="24"/>
          <w:szCs w:val="24"/>
        </w:rPr>
        <w:t xml:space="preserve"> (figure 2 and 3)</w:t>
      </w:r>
      <w:r w:rsidRPr="00FF1DE5">
        <w:rPr>
          <w:rStyle w:val="Bodytext11"/>
          <w:rFonts w:asciiTheme="majorBidi" w:hAnsiTheme="majorBidi" w:cstheme="majorBidi"/>
          <w:bCs/>
          <w:sz w:val="24"/>
          <w:szCs w:val="24"/>
        </w:rPr>
        <w:t xml:space="preserve">. On the other hand, we observed a strong positive correlation between HR in the operating room and induction dose of </w:t>
      </w:r>
      <w:proofErr w:type="spellStart"/>
      <w:r w:rsidRPr="00FF1DE5">
        <w:rPr>
          <w:rStyle w:val="Bodytext11"/>
          <w:rFonts w:asciiTheme="majorBidi" w:hAnsiTheme="majorBidi" w:cstheme="majorBidi"/>
          <w:bCs/>
          <w:sz w:val="24"/>
          <w:szCs w:val="24"/>
        </w:rPr>
        <w:t>Propofol</w:t>
      </w:r>
      <w:proofErr w:type="spellEnd"/>
      <w:r w:rsidR="006B25F2" w:rsidRPr="00FF1DE5">
        <w:rPr>
          <w:rStyle w:val="Bodytext11"/>
          <w:rFonts w:asciiTheme="majorBidi" w:hAnsiTheme="majorBidi" w:cstheme="majorBidi"/>
          <w:bCs/>
          <w:sz w:val="24"/>
          <w:szCs w:val="24"/>
        </w:rPr>
        <w:t xml:space="preserve"> (figure 4)</w:t>
      </w:r>
      <w:r w:rsidR="00463E10" w:rsidRPr="00FF1DE5">
        <w:rPr>
          <w:rStyle w:val="Bodytext11"/>
          <w:rFonts w:asciiTheme="majorBidi" w:hAnsiTheme="majorBidi" w:cstheme="majorBidi"/>
          <w:bCs/>
          <w:sz w:val="24"/>
          <w:szCs w:val="24"/>
        </w:rPr>
        <w:t>. We also observed a strong positive correlation between STAI-S in operating room and HR</w:t>
      </w:r>
      <w:r w:rsidR="006B25F2" w:rsidRPr="00FF1DE5">
        <w:rPr>
          <w:rStyle w:val="Bodytext11"/>
          <w:rFonts w:asciiTheme="majorBidi" w:hAnsiTheme="majorBidi" w:cstheme="majorBidi"/>
          <w:bCs/>
          <w:sz w:val="24"/>
          <w:szCs w:val="24"/>
        </w:rPr>
        <w:t xml:space="preserve"> </w:t>
      </w:r>
      <w:r w:rsidR="00463E10" w:rsidRPr="00FF1DE5">
        <w:rPr>
          <w:rStyle w:val="Bodytext11"/>
          <w:rFonts w:asciiTheme="majorBidi" w:hAnsiTheme="majorBidi" w:cstheme="majorBidi"/>
          <w:bCs/>
          <w:sz w:val="24"/>
          <w:szCs w:val="24"/>
        </w:rPr>
        <w:t xml:space="preserve">(table 3 and figure 5) </w:t>
      </w:r>
      <w:r w:rsidR="006B25F2" w:rsidRPr="00FF1DE5">
        <w:rPr>
          <w:rStyle w:val="Bodytext11"/>
          <w:rFonts w:asciiTheme="majorBidi" w:hAnsiTheme="majorBidi" w:cstheme="majorBidi"/>
          <w:bCs/>
          <w:sz w:val="24"/>
          <w:szCs w:val="24"/>
        </w:rPr>
        <w:t xml:space="preserve">[cut off for </w:t>
      </w:r>
      <w:r w:rsidR="006B25F2" w:rsidRPr="00FF1DE5">
        <w:rPr>
          <w:rFonts w:asciiTheme="majorBidi" w:hAnsiTheme="majorBidi" w:cstheme="majorBidi"/>
          <w:sz w:val="24"/>
          <w:szCs w:val="24"/>
        </w:rPr>
        <w:t>minimum positive Pearson's correlation coefficient was set at 0.6, as described in the methodology]</w:t>
      </w:r>
      <w:r w:rsidRPr="00FF1DE5">
        <w:rPr>
          <w:rStyle w:val="Bodytext11"/>
          <w:rFonts w:asciiTheme="majorBidi" w:hAnsiTheme="majorBidi" w:cstheme="majorBidi"/>
          <w:bCs/>
          <w:sz w:val="24"/>
          <w:szCs w:val="24"/>
        </w:rPr>
        <w:t>.</w:t>
      </w:r>
    </w:p>
    <w:p w:rsidR="00FF1DE5" w:rsidRPr="00FF1DE5" w:rsidRDefault="00FF1DE5" w:rsidP="00D83650">
      <w:pPr>
        <w:spacing w:after="97" w:line="480" w:lineRule="auto"/>
        <w:ind w:right="4"/>
        <w:jc w:val="both"/>
        <w:rPr>
          <w:rFonts w:asciiTheme="majorBidi" w:eastAsia="Franklin Gothic Medium Cond" w:hAnsiTheme="majorBidi" w:cstheme="majorBidi"/>
          <w:bCs/>
          <w:sz w:val="24"/>
          <w:szCs w:val="24"/>
        </w:rPr>
      </w:pPr>
    </w:p>
    <w:p w:rsidR="002D30AE" w:rsidRPr="00FF1DE5" w:rsidRDefault="002D30AE" w:rsidP="006370A8">
      <w:pPr>
        <w:spacing w:before="240" w:line="480" w:lineRule="auto"/>
        <w:jc w:val="both"/>
        <w:rPr>
          <w:rStyle w:val="SubtleEmphasis"/>
          <w:rFonts w:asciiTheme="majorBidi" w:hAnsiTheme="majorBidi" w:cstheme="majorBidi"/>
          <w:bCs/>
          <w:iCs w:val="0"/>
          <w:color w:val="0D0D0D" w:themeColor="text1" w:themeTint="F2"/>
          <w:sz w:val="24"/>
          <w:szCs w:val="24"/>
        </w:rPr>
      </w:pPr>
      <w:r w:rsidRPr="00FF1DE5">
        <w:rPr>
          <w:rStyle w:val="SubtleEmphasis"/>
          <w:rFonts w:asciiTheme="majorBidi" w:hAnsiTheme="majorBidi" w:cstheme="majorBidi"/>
          <w:bCs/>
          <w:iCs w:val="0"/>
          <w:color w:val="0D0D0D" w:themeColor="text1" w:themeTint="F2"/>
          <w:sz w:val="24"/>
          <w:szCs w:val="24"/>
        </w:rPr>
        <w:t>DISCUSSION</w:t>
      </w:r>
    </w:p>
    <w:p w:rsidR="00A43880" w:rsidRPr="00FF1DE5" w:rsidRDefault="00A43880" w:rsidP="00A43880">
      <w:pPr>
        <w:spacing w:line="480" w:lineRule="auto"/>
        <w:jc w:val="both"/>
        <w:rPr>
          <w:rFonts w:asciiTheme="majorBidi" w:hAnsiTheme="majorBidi" w:cstheme="majorBidi"/>
          <w:sz w:val="24"/>
          <w:szCs w:val="24"/>
        </w:rPr>
      </w:pPr>
      <w:r w:rsidRPr="00FF1DE5">
        <w:rPr>
          <w:rFonts w:asciiTheme="majorBidi" w:hAnsiTheme="majorBidi" w:cstheme="majorBidi"/>
          <w:sz w:val="24"/>
          <w:szCs w:val="24"/>
        </w:rPr>
        <w:t xml:space="preserve">Our study was carried out to observe the correlation between pre-anesthetic anxiety and heart rate on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dose requirement. Pre-anesthetic anxiety was studied under two components of anxiety i.e., state and trait using </w:t>
      </w:r>
      <w:proofErr w:type="spellStart"/>
      <w:r w:rsidRPr="00FF1DE5">
        <w:rPr>
          <w:rFonts w:asciiTheme="majorBidi" w:hAnsiTheme="majorBidi" w:cstheme="majorBidi"/>
          <w:sz w:val="24"/>
          <w:szCs w:val="24"/>
        </w:rPr>
        <w:t>Spielberger’s</w:t>
      </w:r>
      <w:proofErr w:type="spellEnd"/>
      <w:r w:rsidRPr="00FF1DE5">
        <w:rPr>
          <w:rFonts w:asciiTheme="majorBidi" w:hAnsiTheme="majorBidi" w:cstheme="majorBidi"/>
          <w:sz w:val="24"/>
          <w:szCs w:val="24"/>
        </w:rPr>
        <w:t xml:space="preserve"> State-Trait Anxiety Inventory Scale (STAI-S and STAI-T respectively). State anxiety refers to transitory unpleasant feelings of apprehension, tension, nervousness or worry, often accompanied by activation of the autonomic nervous system; it reflects how threatening a person perceives his environment to be.</w:t>
      </w:r>
      <w:r w:rsidRPr="00FF1DE5">
        <w:rPr>
          <w:rFonts w:asciiTheme="majorBidi" w:hAnsiTheme="majorBidi" w:cstheme="majorBidi"/>
          <w:sz w:val="24"/>
          <w:szCs w:val="24"/>
          <w:vertAlign w:val="superscript"/>
        </w:rPr>
        <w:t>1</w:t>
      </w:r>
      <w:r w:rsidR="004120AB" w:rsidRPr="00FF1DE5">
        <w:rPr>
          <w:rFonts w:asciiTheme="majorBidi" w:hAnsiTheme="majorBidi" w:cstheme="majorBidi"/>
          <w:sz w:val="24"/>
          <w:szCs w:val="24"/>
          <w:vertAlign w:val="superscript"/>
        </w:rPr>
        <w:t>9</w:t>
      </w:r>
      <w:r w:rsidRPr="00FF1DE5">
        <w:rPr>
          <w:rFonts w:asciiTheme="majorBidi" w:hAnsiTheme="majorBidi" w:cstheme="majorBidi"/>
          <w:sz w:val="24"/>
          <w:szCs w:val="24"/>
        </w:rPr>
        <w:t xml:space="preserve"> Trait anxiety is a personality disposition that describes a person's tendency to perceive situations as threatening, and hence to experience state anxiety in stressful situations.</w:t>
      </w:r>
      <w:r w:rsidRPr="00FF1DE5">
        <w:rPr>
          <w:rFonts w:asciiTheme="majorBidi" w:hAnsiTheme="majorBidi" w:cstheme="majorBidi"/>
          <w:sz w:val="24"/>
          <w:szCs w:val="24"/>
          <w:vertAlign w:val="superscript"/>
        </w:rPr>
        <w:t>1</w:t>
      </w:r>
      <w:r w:rsidR="004120AB" w:rsidRPr="00FF1DE5">
        <w:rPr>
          <w:rFonts w:asciiTheme="majorBidi" w:hAnsiTheme="majorBidi" w:cstheme="majorBidi"/>
          <w:sz w:val="24"/>
          <w:szCs w:val="24"/>
          <w:vertAlign w:val="superscript"/>
        </w:rPr>
        <w:t>9</w:t>
      </w:r>
      <w:r w:rsidRPr="00FF1DE5">
        <w:rPr>
          <w:rFonts w:asciiTheme="majorBidi" w:hAnsiTheme="majorBidi" w:cstheme="majorBidi"/>
          <w:sz w:val="24"/>
          <w:szCs w:val="24"/>
        </w:rPr>
        <w:t xml:space="preserve"> Trait anxiety is not observed directly, but is expressed as state anxiety when stress is experienced. Hence we studied the effect </w:t>
      </w:r>
      <w:r w:rsidRPr="00FF1DE5">
        <w:rPr>
          <w:rFonts w:asciiTheme="majorBidi" w:hAnsiTheme="majorBidi" w:cstheme="majorBidi"/>
          <w:sz w:val="24"/>
          <w:szCs w:val="24"/>
        </w:rPr>
        <w:lastRenderedPageBreak/>
        <w:t xml:space="preserve">of trait and state anxiety on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requirement separately. We also studied the effect of anxiety on HR and HR on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dose requirement.</w:t>
      </w:r>
    </w:p>
    <w:p w:rsidR="00A43880" w:rsidRPr="00FF1DE5" w:rsidRDefault="00A43880" w:rsidP="00EC3D5B">
      <w:pPr>
        <w:pStyle w:val="BodyTextIndent"/>
        <w:tabs>
          <w:tab w:val="left" w:pos="0"/>
        </w:tabs>
        <w:spacing w:line="480" w:lineRule="auto"/>
        <w:ind w:left="0"/>
        <w:jc w:val="both"/>
        <w:rPr>
          <w:rFonts w:asciiTheme="majorBidi" w:hAnsiTheme="majorBidi" w:cstheme="majorBidi"/>
        </w:rPr>
      </w:pPr>
      <w:r w:rsidRPr="00FF1DE5">
        <w:rPr>
          <w:rFonts w:asciiTheme="majorBidi" w:hAnsiTheme="majorBidi" w:cstheme="majorBidi"/>
        </w:rPr>
        <w:t>We observed that preoperative trait anxiety</w:t>
      </w:r>
      <w:r w:rsidR="00EC3D5B" w:rsidRPr="00FF1DE5">
        <w:rPr>
          <w:rFonts w:asciiTheme="majorBidi" w:hAnsiTheme="majorBidi" w:cstheme="majorBidi"/>
        </w:rPr>
        <w:t xml:space="preserve"> (STAI-T)</w:t>
      </w:r>
      <w:r w:rsidRPr="00FF1DE5">
        <w:rPr>
          <w:rFonts w:asciiTheme="majorBidi" w:hAnsiTheme="majorBidi" w:cstheme="majorBidi"/>
        </w:rPr>
        <w:t>, which was measured in the wai</w:t>
      </w:r>
      <w:r w:rsidR="00EC3D5B" w:rsidRPr="00FF1DE5">
        <w:rPr>
          <w:rFonts w:asciiTheme="majorBidi" w:hAnsiTheme="majorBidi" w:cstheme="majorBidi"/>
        </w:rPr>
        <w:t>ting room, independently affected</w:t>
      </w:r>
      <w:r w:rsidRPr="00FF1DE5">
        <w:rPr>
          <w:rFonts w:asciiTheme="majorBidi" w:hAnsiTheme="majorBidi" w:cstheme="majorBidi"/>
        </w:rPr>
        <w:t xml:space="preserve"> the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do</w:t>
      </w:r>
      <w:r w:rsidR="00EC3D5B" w:rsidRPr="00FF1DE5">
        <w:rPr>
          <w:rFonts w:asciiTheme="majorBidi" w:hAnsiTheme="majorBidi" w:cstheme="majorBidi"/>
        </w:rPr>
        <w:t>se required f</w:t>
      </w:r>
      <w:r w:rsidR="00463E10" w:rsidRPr="00FF1DE5">
        <w:rPr>
          <w:rFonts w:asciiTheme="majorBidi" w:hAnsiTheme="majorBidi" w:cstheme="majorBidi"/>
        </w:rPr>
        <w:t>or induction (f</w:t>
      </w:r>
      <w:r w:rsidR="00EC3D5B" w:rsidRPr="00FF1DE5">
        <w:rPr>
          <w:rFonts w:asciiTheme="majorBidi" w:hAnsiTheme="majorBidi" w:cstheme="majorBidi"/>
        </w:rPr>
        <w:t>igure 1</w:t>
      </w:r>
      <w:r w:rsidRPr="00FF1DE5">
        <w:rPr>
          <w:rFonts w:asciiTheme="majorBidi" w:hAnsiTheme="majorBidi" w:cstheme="majorBidi"/>
        </w:rPr>
        <w:t>). But the state anxiety</w:t>
      </w:r>
      <w:r w:rsidR="00EC3D5B" w:rsidRPr="00FF1DE5">
        <w:rPr>
          <w:rFonts w:asciiTheme="majorBidi" w:hAnsiTheme="majorBidi" w:cstheme="majorBidi"/>
        </w:rPr>
        <w:t xml:space="preserve"> (STAI-S),</w:t>
      </w:r>
      <w:r w:rsidRPr="00FF1DE5">
        <w:rPr>
          <w:rFonts w:asciiTheme="majorBidi" w:hAnsiTheme="majorBidi" w:cstheme="majorBidi"/>
        </w:rPr>
        <w:t xml:space="preserve"> measured </w:t>
      </w:r>
      <w:r w:rsidR="00463E10" w:rsidRPr="00FF1DE5">
        <w:rPr>
          <w:rFonts w:asciiTheme="majorBidi" w:hAnsiTheme="majorBidi" w:cstheme="majorBidi"/>
        </w:rPr>
        <w:t>both in the waiting room (f</w:t>
      </w:r>
      <w:r w:rsidR="00EC3D5B" w:rsidRPr="00FF1DE5">
        <w:rPr>
          <w:rFonts w:asciiTheme="majorBidi" w:hAnsiTheme="majorBidi" w:cstheme="majorBidi"/>
        </w:rPr>
        <w:t>igure 2</w:t>
      </w:r>
      <w:r w:rsidRPr="00FF1DE5">
        <w:rPr>
          <w:rFonts w:asciiTheme="majorBidi" w:hAnsiTheme="majorBidi" w:cstheme="majorBidi"/>
        </w:rPr>
        <w:t xml:space="preserve">) and </w:t>
      </w:r>
      <w:r w:rsidR="00EC3D5B" w:rsidRPr="00FF1DE5">
        <w:rPr>
          <w:rFonts w:asciiTheme="majorBidi" w:hAnsiTheme="majorBidi" w:cstheme="majorBidi"/>
        </w:rPr>
        <w:t xml:space="preserve">in the operating room just before induction </w:t>
      </w:r>
      <w:r w:rsidR="00463E10" w:rsidRPr="00FF1DE5">
        <w:rPr>
          <w:rFonts w:asciiTheme="majorBidi" w:hAnsiTheme="majorBidi" w:cstheme="majorBidi"/>
        </w:rPr>
        <w:t>(f</w:t>
      </w:r>
      <w:r w:rsidR="00EC3D5B" w:rsidRPr="00FF1DE5">
        <w:rPr>
          <w:rFonts w:asciiTheme="majorBidi" w:hAnsiTheme="majorBidi" w:cstheme="majorBidi"/>
        </w:rPr>
        <w:t>igure 3)</w:t>
      </w:r>
      <w:r w:rsidR="00463E10" w:rsidRPr="00FF1DE5">
        <w:rPr>
          <w:rFonts w:asciiTheme="majorBidi" w:hAnsiTheme="majorBidi" w:cstheme="majorBidi"/>
        </w:rPr>
        <w:t>,</w:t>
      </w:r>
      <w:r w:rsidR="00EC3D5B" w:rsidRPr="00FF1DE5">
        <w:rPr>
          <w:rFonts w:asciiTheme="majorBidi" w:hAnsiTheme="majorBidi" w:cstheme="majorBidi"/>
        </w:rPr>
        <w:t xml:space="preserve"> had</w:t>
      </w:r>
      <w:r w:rsidRPr="00FF1DE5">
        <w:rPr>
          <w:rFonts w:asciiTheme="majorBidi" w:hAnsiTheme="majorBidi" w:cstheme="majorBidi"/>
        </w:rPr>
        <w:t xml:space="preserve"> no significant positive correlation with the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dose requirement. This is in agreement with previous studies of </w:t>
      </w:r>
      <w:proofErr w:type="spellStart"/>
      <w:r w:rsidRPr="00FF1DE5">
        <w:rPr>
          <w:rFonts w:asciiTheme="majorBidi" w:hAnsiTheme="majorBidi" w:cstheme="majorBidi"/>
        </w:rPr>
        <w:t>Marantes</w:t>
      </w:r>
      <w:proofErr w:type="spellEnd"/>
      <w:r w:rsidRPr="00FF1DE5">
        <w:rPr>
          <w:rFonts w:asciiTheme="majorBidi" w:hAnsiTheme="majorBidi" w:cstheme="majorBidi"/>
        </w:rPr>
        <w:t xml:space="preserve"> </w:t>
      </w:r>
      <w:proofErr w:type="gramStart"/>
      <w:r w:rsidRPr="00FF1DE5">
        <w:rPr>
          <w:rFonts w:asciiTheme="majorBidi" w:hAnsiTheme="majorBidi" w:cstheme="majorBidi"/>
          <w:i/>
          <w:iCs/>
        </w:rPr>
        <w:t>et</w:t>
      </w:r>
      <w:proofErr w:type="gramEnd"/>
      <w:r w:rsidRPr="00FF1DE5">
        <w:rPr>
          <w:rFonts w:asciiTheme="majorBidi" w:hAnsiTheme="majorBidi" w:cstheme="majorBidi"/>
          <w:i/>
          <w:iCs/>
        </w:rPr>
        <w:t xml:space="preserve"> al</w:t>
      </w:r>
      <w:r w:rsidR="00AF2044" w:rsidRPr="00FF1DE5">
        <w:rPr>
          <w:rFonts w:asciiTheme="majorBidi" w:hAnsiTheme="majorBidi" w:cstheme="majorBidi"/>
          <w:i/>
          <w:iCs/>
        </w:rPr>
        <w:t>.</w:t>
      </w:r>
      <w:r w:rsidR="00AF2044" w:rsidRPr="00FF1DE5">
        <w:rPr>
          <w:rFonts w:asciiTheme="majorBidi" w:hAnsiTheme="majorBidi" w:cstheme="majorBidi"/>
          <w:vertAlign w:val="superscript"/>
        </w:rPr>
        <w:t>5</w:t>
      </w:r>
      <w:r w:rsidRPr="00FF1DE5">
        <w:rPr>
          <w:rFonts w:asciiTheme="majorBidi" w:hAnsiTheme="majorBidi" w:cstheme="majorBidi"/>
        </w:rPr>
        <w:t xml:space="preserve"> and </w:t>
      </w:r>
      <w:proofErr w:type="spellStart"/>
      <w:r w:rsidRPr="00FF1DE5">
        <w:rPr>
          <w:rStyle w:val="Bodytext4"/>
          <w:rFonts w:asciiTheme="majorBidi" w:hAnsiTheme="majorBidi" w:cstheme="majorBidi"/>
          <w:sz w:val="24"/>
          <w:szCs w:val="24"/>
        </w:rPr>
        <w:t>Kil</w:t>
      </w:r>
      <w:proofErr w:type="spellEnd"/>
      <w:r w:rsidRPr="00FF1DE5">
        <w:rPr>
          <w:rStyle w:val="Bodytext0"/>
          <w:rFonts w:asciiTheme="majorBidi" w:hAnsiTheme="majorBidi" w:cstheme="majorBidi"/>
          <w:sz w:val="24"/>
          <w:szCs w:val="24"/>
        </w:rPr>
        <w:t xml:space="preserve"> </w:t>
      </w:r>
      <w:r w:rsidRPr="00FF1DE5">
        <w:rPr>
          <w:rStyle w:val="Bodytext0"/>
          <w:rFonts w:asciiTheme="majorBidi" w:hAnsiTheme="majorBidi" w:cstheme="majorBidi"/>
          <w:i/>
          <w:iCs/>
          <w:sz w:val="24"/>
          <w:szCs w:val="24"/>
        </w:rPr>
        <w:t>et al</w:t>
      </w:r>
      <w:r w:rsidRPr="00FF1DE5">
        <w:rPr>
          <w:rStyle w:val="Bodytext0"/>
          <w:rFonts w:asciiTheme="majorBidi" w:hAnsiTheme="majorBidi" w:cstheme="majorBidi"/>
          <w:sz w:val="24"/>
          <w:szCs w:val="24"/>
        </w:rPr>
        <w:t>.</w:t>
      </w:r>
      <w:r w:rsidR="00AF2044" w:rsidRPr="00FF1DE5">
        <w:rPr>
          <w:rStyle w:val="Bodytext0"/>
          <w:rFonts w:asciiTheme="majorBidi" w:hAnsiTheme="majorBidi" w:cstheme="majorBidi"/>
          <w:sz w:val="24"/>
          <w:szCs w:val="24"/>
          <w:vertAlign w:val="superscript"/>
        </w:rPr>
        <w:t>6</w:t>
      </w:r>
      <w:r w:rsidRPr="00FF1DE5">
        <w:rPr>
          <w:rStyle w:val="HeaderChar"/>
          <w:rFonts w:asciiTheme="majorBidi" w:hAnsiTheme="majorBidi" w:cstheme="majorBidi"/>
        </w:rPr>
        <w:t xml:space="preserve"> </w:t>
      </w:r>
    </w:p>
    <w:p w:rsidR="00A43880" w:rsidRPr="00FF1DE5" w:rsidRDefault="00EC3D5B" w:rsidP="00B72110">
      <w:pPr>
        <w:pStyle w:val="BodyTextIndent"/>
        <w:tabs>
          <w:tab w:val="left" w:pos="0"/>
        </w:tabs>
        <w:spacing w:line="480" w:lineRule="auto"/>
        <w:ind w:left="0"/>
        <w:jc w:val="both"/>
        <w:rPr>
          <w:rFonts w:asciiTheme="majorBidi" w:hAnsiTheme="majorBidi" w:cstheme="majorBidi"/>
        </w:rPr>
      </w:pPr>
      <w:r w:rsidRPr="00FF1DE5">
        <w:rPr>
          <w:rFonts w:asciiTheme="majorBidi" w:hAnsiTheme="majorBidi" w:cstheme="majorBidi"/>
        </w:rPr>
        <w:t>On the other hand, heart rate (HR),</w:t>
      </w:r>
      <w:r w:rsidR="00A43880" w:rsidRPr="00FF1DE5">
        <w:rPr>
          <w:rFonts w:asciiTheme="majorBidi" w:hAnsiTheme="majorBidi" w:cstheme="majorBidi"/>
        </w:rPr>
        <w:t xml:space="preserve"> which was measured </w:t>
      </w:r>
      <w:r w:rsidRPr="00FF1DE5">
        <w:rPr>
          <w:rFonts w:asciiTheme="majorBidi" w:hAnsiTheme="majorBidi" w:cstheme="majorBidi"/>
        </w:rPr>
        <w:t xml:space="preserve">in the operating room </w:t>
      </w:r>
      <w:r w:rsidR="00A43880" w:rsidRPr="00FF1DE5">
        <w:rPr>
          <w:rFonts w:asciiTheme="majorBidi" w:hAnsiTheme="majorBidi" w:cstheme="majorBidi"/>
        </w:rPr>
        <w:t>just before th</w:t>
      </w:r>
      <w:r w:rsidRPr="00FF1DE5">
        <w:rPr>
          <w:rFonts w:asciiTheme="majorBidi" w:hAnsiTheme="majorBidi" w:cstheme="majorBidi"/>
        </w:rPr>
        <w:t>e induction (Figure 4</w:t>
      </w:r>
      <w:r w:rsidR="00A43880" w:rsidRPr="00FF1DE5">
        <w:rPr>
          <w:rFonts w:asciiTheme="majorBidi" w:hAnsiTheme="majorBidi" w:cstheme="majorBidi"/>
        </w:rPr>
        <w:t>)</w:t>
      </w:r>
      <w:r w:rsidRPr="00FF1DE5">
        <w:rPr>
          <w:rFonts w:asciiTheme="majorBidi" w:hAnsiTheme="majorBidi" w:cstheme="majorBidi"/>
        </w:rPr>
        <w:t>,</w:t>
      </w:r>
      <w:r w:rsidR="00A43880" w:rsidRPr="00FF1DE5">
        <w:rPr>
          <w:rFonts w:asciiTheme="majorBidi" w:hAnsiTheme="majorBidi" w:cstheme="majorBidi"/>
        </w:rPr>
        <w:t xml:space="preserve"> ha</w:t>
      </w:r>
      <w:r w:rsidRPr="00FF1DE5">
        <w:rPr>
          <w:rFonts w:asciiTheme="majorBidi" w:hAnsiTheme="majorBidi" w:cstheme="majorBidi"/>
        </w:rPr>
        <w:t xml:space="preserve">d strong positive </w:t>
      </w:r>
      <w:r w:rsidR="00A43880" w:rsidRPr="00FF1DE5">
        <w:rPr>
          <w:rFonts w:asciiTheme="majorBidi" w:hAnsiTheme="majorBidi" w:cstheme="majorBidi"/>
        </w:rPr>
        <w:t xml:space="preserve">correlation with the </w:t>
      </w:r>
      <w:proofErr w:type="spellStart"/>
      <w:r w:rsidR="00A43880" w:rsidRPr="00FF1DE5">
        <w:rPr>
          <w:rFonts w:asciiTheme="majorBidi" w:hAnsiTheme="majorBidi" w:cstheme="majorBidi"/>
        </w:rPr>
        <w:t>Propofol</w:t>
      </w:r>
      <w:proofErr w:type="spellEnd"/>
      <w:r w:rsidR="00A43880" w:rsidRPr="00FF1DE5">
        <w:rPr>
          <w:rFonts w:asciiTheme="majorBidi" w:hAnsiTheme="majorBidi" w:cstheme="majorBidi"/>
        </w:rPr>
        <w:t xml:space="preserve"> dose requirement for induction. We also observed </w:t>
      </w:r>
      <w:r w:rsidR="00463E10" w:rsidRPr="00FF1DE5">
        <w:rPr>
          <w:rFonts w:asciiTheme="majorBidi" w:hAnsiTheme="majorBidi" w:cstheme="majorBidi"/>
        </w:rPr>
        <w:t xml:space="preserve">that </w:t>
      </w:r>
      <w:r w:rsidR="006D5CBF" w:rsidRPr="00FF1DE5">
        <w:rPr>
          <w:rFonts w:asciiTheme="majorBidi" w:hAnsiTheme="majorBidi" w:cstheme="majorBidi"/>
        </w:rPr>
        <w:t>STA-S</w:t>
      </w:r>
      <w:r w:rsidR="00A43880" w:rsidRPr="00FF1DE5">
        <w:rPr>
          <w:rFonts w:asciiTheme="majorBidi" w:hAnsiTheme="majorBidi" w:cstheme="majorBidi"/>
        </w:rPr>
        <w:t xml:space="preserve"> measured in the oper</w:t>
      </w:r>
      <w:r w:rsidR="006D5CBF" w:rsidRPr="00FF1DE5">
        <w:rPr>
          <w:rFonts w:asciiTheme="majorBidi" w:hAnsiTheme="majorBidi" w:cstheme="majorBidi"/>
        </w:rPr>
        <w:t>ating room had a</w:t>
      </w:r>
      <w:r w:rsidR="00A43880" w:rsidRPr="00FF1DE5">
        <w:rPr>
          <w:rFonts w:asciiTheme="majorBidi" w:hAnsiTheme="majorBidi" w:cstheme="majorBidi"/>
        </w:rPr>
        <w:t xml:space="preserve"> strong posi</w:t>
      </w:r>
      <w:r w:rsidR="006D5CBF" w:rsidRPr="00FF1DE5">
        <w:rPr>
          <w:rFonts w:asciiTheme="majorBidi" w:hAnsiTheme="majorBidi" w:cstheme="majorBidi"/>
        </w:rPr>
        <w:t>tive correlation with HR (f</w:t>
      </w:r>
      <w:r w:rsidR="00A43880" w:rsidRPr="00FF1DE5">
        <w:rPr>
          <w:rFonts w:asciiTheme="majorBidi" w:hAnsiTheme="majorBidi" w:cstheme="majorBidi"/>
        </w:rPr>
        <w:t>ig</w:t>
      </w:r>
      <w:r w:rsidR="006D5CBF" w:rsidRPr="00FF1DE5">
        <w:rPr>
          <w:rFonts w:asciiTheme="majorBidi" w:hAnsiTheme="majorBidi" w:cstheme="majorBidi"/>
        </w:rPr>
        <w:t xml:space="preserve">ure </w:t>
      </w:r>
      <w:r w:rsidR="00A43880" w:rsidRPr="00FF1DE5">
        <w:rPr>
          <w:rFonts w:asciiTheme="majorBidi" w:hAnsiTheme="majorBidi" w:cstheme="majorBidi"/>
        </w:rPr>
        <w:t>5)</w:t>
      </w:r>
      <w:r w:rsidR="006D5CBF" w:rsidRPr="00FF1DE5">
        <w:rPr>
          <w:rFonts w:asciiTheme="majorBidi" w:hAnsiTheme="majorBidi" w:cstheme="majorBidi"/>
        </w:rPr>
        <w:t>. T</w:t>
      </w:r>
      <w:r w:rsidR="00A43880" w:rsidRPr="00FF1DE5">
        <w:rPr>
          <w:rFonts w:asciiTheme="majorBidi" w:hAnsiTheme="majorBidi" w:cstheme="majorBidi"/>
        </w:rPr>
        <w:t xml:space="preserve">his is in agreement with </w:t>
      </w:r>
      <w:proofErr w:type="spellStart"/>
      <w:r w:rsidR="00A43880" w:rsidRPr="00FF1DE5">
        <w:rPr>
          <w:rFonts w:asciiTheme="majorBidi" w:hAnsiTheme="majorBidi" w:cstheme="majorBidi"/>
        </w:rPr>
        <w:t>Morely</w:t>
      </w:r>
      <w:proofErr w:type="spellEnd"/>
      <w:r w:rsidR="00A43880" w:rsidRPr="00FF1DE5">
        <w:rPr>
          <w:rFonts w:asciiTheme="majorBidi" w:hAnsiTheme="majorBidi" w:cstheme="majorBidi"/>
        </w:rPr>
        <w:t xml:space="preserve"> </w:t>
      </w:r>
      <w:proofErr w:type="gramStart"/>
      <w:r w:rsidR="00A43880" w:rsidRPr="00FF1DE5">
        <w:rPr>
          <w:rFonts w:asciiTheme="majorBidi" w:hAnsiTheme="majorBidi" w:cstheme="majorBidi"/>
          <w:i/>
          <w:iCs/>
        </w:rPr>
        <w:t>et</w:t>
      </w:r>
      <w:proofErr w:type="gramEnd"/>
      <w:r w:rsidR="00A43880" w:rsidRPr="00FF1DE5">
        <w:rPr>
          <w:rFonts w:asciiTheme="majorBidi" w:hAnsiTheme="majorBidi" w:cstheme="majorBidi"/>
          <w:i/>
          <w:iCs/>
        </w:rPr>
        <w:t xml:space="preserve"> al</w:t>
      </w:r>
      <w:r w:rsidR="00AF2044" w:rsidRPr="00FF1DE5">
        <w:rPr>
          <w:rFonts w:asciiTheme="majorBidi" w:hAnsiTheme="majorBidi" w:cstheme="majorBidi"/>
          <w:i/>
          <w:iCs/>
        </w:rPr>
        <w:t>.</w:t>
      </w:r>
      <w:r w:rsidR="00AF2044" w:rsidRPr="00FF1DE5">
        <w:rPr>
          <w:rFonts w:asciiTheme="majorBidi" w:hAnsiTheme="majorBidi" w:cstheme="majorBidi"/>
          <w:vertAlign w:val="superscript"/>
        </w:rPr>
        <w:t>9</w:t>
      </w:r>
      <w:r w:rsidR="00A43880" w:rsidRPr="00FF1DE5">
        <w:rPr>
          <w:rFonts w:asciiTheme="majorBidi" w:hAnsiTheme="majorBidi" w:cstheme="majorBidi"/>
        </w:rPr>
        <w:t xml:space="preserve"> and Gras S </w:t>
      </w:r>
      <w:r w:rsidR="00A43880" w:rsidRPr="00FF1DE5">
        <w:rPr>
          <w:rFonts w:asciiTheme="majorBidi" w:hAnsiTheme="majorBidi" w:cstheme="majorBidi"/>
          <w:i/>
          <w:iCs/>
        </w:rPr>
        <w:t>et al</w:t>
      </w:r>
      <w:r w:rsidR="00A43880" w:rsidRPr="00FF1DE5">
        <w:rPr>
          <w:rFonts w:asciiTheme="majorBidi" w:hAnsiTheme="majorBidi" w:cstheme="majorBidi"/>
        </w:rPr>
        <w:t>.</w:t>
      </w:r>
      <w:r w:rsidR="00AF2044" w:rsidRPr="00FF1DE5">
        <w:rPr>
          <w:rFonts w:asciiTheme="majorBidi" w:hAnsiTheme="majorBidi" w:cstheme="majorBidi"/>
          <w:vertAlign w:val="superscript"/>
        </w:rPr>
        <w:t>10</w:t>
      </w:r>
    </w:p>
    <w:p w:rsidR="00A43880" w:rsidRPr="00FF1DE5" w:rsidRDefault="00A43880" w:rsidP="00A43880">
      <w:pPr>
        <w:pStyle w:val="BodyTextIndent"/>
        <w:tabs>
          <w:tab w:val="left" w:pos="0"/>
        </w:tabs>
        <w:spacing w:line="480" w:lineRule="auto"/>
        <w:ind w:left="0"/>
        <w:jc w:val="both"/>
        <w:rPr>
          <w:rStyle w:val="Bodytext0"/>
          <w:rFonts w:asciiTheme="majorBidi" w:hAnsiTheme="majorBidi" w:cstheme="majorBidi"/>
          <w:sz w:val="24"/>
          <w:szCs w:val="24"/>
        </w:rPr>
      </w:pPr>
      <w:r w:rsidRPr="00FF1DE5">
        <w:rPr>
          <w:rStyle w:val="Bodytext0"/>
          <w:rFonts w:asciiTheme="majorBidi" w:hAnsiTheme="majorBidi" w:cstheme="majorBidi"/>
          <w:sz w:val="24"/>
          <w:szCs w:val="24"/>
        </w:rPr>
        <w:t xml:space="preserve">Conflicting results have been reported in the previous studies concerning the effects of anxiety on </w:t>
      </w:r>
      <w:proofErr w:type="spellStart"/>
      <w:r w:rsidRPr="00FF1DE5">
        <w:rPr>
          <w:rStyle w:val="Bodytext0"/>
          <w:rFonts w:asciiTheme="majorBidi" w:hAnsiTheme="majorBidi" w:cstheme="majorBidi"/>
          <w:sz w:val="24"/>
          <w:szCs w:val="24"/>
        </w:rPr>
        <w:t>Propofol</w:t>
      </w:r>
      <w:proofErr w:type="spellEnd"/>
      <w:r w:rsidRPr="00FF1DE5">
        <w:rPr>
          <w:rStyle w:val="Bodytext0"/>
          <w:rFonts w:asciiTheme="majorBidi" w:hAnsiTheme="majorBidi" w:cstheme="majorBidi"/>
          <w:sz w:val="24"/>
          <w:szCs w:val="24"/>
        </w:rPr>
        <w:t xml:space="preserve"> dose requirement</w:t>
      </w:r>
      <w:r w:rsidR="006D5CBF" w:rsidRPr="00FF1DE5">
        <w:rPr>
          <w:rStyle w:val="Bodytext0"/>
          <w:rFonts w:asciiTheme="majorBidi" w:hAnsiTheme="majorBidi" w:cstheme="majorBidi"/>
          <w:sz w:val="24"/>
          <w:szCs w:val="24"/>
        </w:rPr>
        <w:t xml:space="preserve"> for induction</w:t>
      </w:r>
      <w:r w:rsidRPr="00FF1DE5">
        <w:rPr>
          <w:rStyle w:val="Bodytext0"/>
          <w:rFonts w:asciiTheme="majorBidi" w:hAnsiTheme="majorBidi" w:cstheme="majorBidi"/>
          <w:sz w:val="24"/>
          <w:szCs w:val="24"/>
        </w:rPr>
        <w:t xml:space="preserve">. </w:t>
      </w:r>
      <w:proofErr w:type="spellStart"/>
      <w:r w:rsidRPr="00FF1DE5">
        <w:rPr>
          <w:rStyle w:val="Bodytext0"/>
          <w:rFonts w:asciiTheme="majorBidi" w:hAnsiTheme="majorBidi" w:cstheme="majorBidi"/>
          <w:sz w:val="24"/>
          <w:szCs w:val="24"/>
        </w:rPr>
        <w:t>Maranets</w:t>
      </w:r>
      <w:proofErr w:type="spellEnd"/>
      <w:r w:rsidRPr="00FF1DE5">
        <w:rPr>
          <w:rStyle w:val="Bodytext0"/>
          <w:rFonts w:asciiTheme="majorBidi" w:hAnsiTheme="majorBidi" w:cstheme="majorBidi"/>
          <w:sz w:val="24"/>
          <w:szCs w:val="24"/>
        </w:rPr>
        <w:t xml:space="preserve"> </w:t>
      </w:r>
      <w:r w:rsidRPr="00FF1DE5">
        <w:rPr>
          <w:rStyle w:val="Bodytext0"/>
          <w:rFonts w:asciiTheme="majorBidi" w:hAnsiTheme="majorBidi" w:cstheme="majorBidi"/>
          <w:i/>
          <w:iCs/>
          <w:sz w:val="24"/>
          <w:szCs w:val="24"/>
        </w:rPr>
        <w:t>et al</w:t>
      </w:r>
      <w:r w:rsidR="006D5CBF" w:rsidRPr="00FF1DE5">
        <w:rPr>
          <w:rStyle w:val="Bodytext0"/>
          <w:rFonts w:asciiTheme="majorBidi" w:hAnsiTheme="majorBidi" w:cstheme="majorBidi"/>
          <w:i/>
          <w:iCs/>
          <w:sz w:val="24"/>
          <w:szCs w:val="24"/>
        </w:rPr>
        <w:t>.</w:t>
      </w:r>
      <w:r w:rsidR="006D5CBF" w:rsidRPr="00FF1DE5">
        <w:rPr>
          <w:rStyle w:val="Bodytext0"/>
          <w:rFonts w:asciiTheme="majorBidi" w:hAnsiTheme="majorBidi" w:cstheme="majorBidi"/>
          <w:sz w:val="24"/>
          <w:szCs w:val="24"/>
        </w:rPr>
        <w:t xml:space="preserve"> found that increased preoperative STAI-T</w:t>
      </w:r>
      <w:r w:rsidRPr="00FF1DE5">
        <w:rPr>
          <w:rStyle w:val="Bodytext0"/>
          <w:rFonts w:asciiTheme="majorBidi" w:hAnsiTheme="majorBidi" w:cstheme="majorBidi"/>
          <w:sz w:val="24"/>
          <w:szCs w:val="24"/>
        </w:rPr>
        <w:t xml:space="preserve"> on the day of surgery was a</w:t>
      </w:r>
      <w:r w:rsidR="006D5CBF" w:rsidRPr="00FF1DE5">
        <w:rPr>
          <w:rStyle w:val="Bodytext0"/>
          <w:rFonts w:asciiTheme="majorBidi" w:hAnsiTheme="majorBidi" w:cstheme="majorBidi"/>
          <w:sz w:val="24"/>
          <w:szCs w:val="24"/>
        </w:rPr>
        <w:t xml:space="preserve">ssociated with higher </w:t>
      </w:r>
      <w:proofErr w:type="spellStart"/>
      <w:r w:rsidR="006D5CBF" w:rsidRPr="00FF1DE5">
        <w:rPr>
          <w:rStyle w:val="Bodytext0"/>
          <w:rFonts w:asciiTheme="majorBidi" w:hAnsiTheme="majorBidi" w:cstheme="majorBidi"/>
          <w:sz w:val="24"/>
          <w:szCs w:val="24"/>
        </w:rPr>
        <w:t>Propofol</w:t>
      </w:r>
      <w:proofErr w:type="spellEnd"/>
      <w:r w:rsidR="006D5CBF" w:rsidRPr="00FF1DE5">
        <w:rPr>
          <w:rStyle w:val="Bodytext0"/>
          <w:rFonts w:asciiTheme="majorBidi" w:hAnsiTheme="majorBidi" w:cstheme="majorBidi"/>
          <w:sz w:val="24"/>
          <w:szCs w:val="24"/>
        </w:rPr>
        <w:t xml:space="preserve"> bolus dose</w:t>
      </w:r>
      <w:r w:rsidRPr="00FF1DE5">
        <w:rPr>
          <w:rStyle w:val="Bodytext0"/>
          <w:rFonts w:asciiTheme="majorBidi" w:hAnsiTheme="majorBidi" w:cstheme="majorBidi"/>
          <w:sz w:val="24"/>
          <w:szCs w:val="24"/>
        </w:rPr>
        <w:t xml:space="preserve"> to achieve a BIS </w:t>
      </w:r>
      <w:r w:rsidR="006D5CBF" w:rsidRPr="00FF1DE5">
        <w:rPr>
          <w:rStyle w:val="Bodytext0"/>
          <w:rFonts w:asciiTheme="majorBidi" w:hAnsiTheme="majorBidi" w:cstheme="majorBidi"/>
          <w:sz w:val="24"/>
          <w:szCs w:val="24"/>
        </w:rPr>
        <w:t>(</w:t>
      </w:r>
      <w:proofErr w:type="spellStart"/>
      <w:r w:rsidR="006D5CBF" w:rsidRPr="00FF1DE5">
        <w:rPr>
          <w:rStyle w:val="Bodytext0"/>
          <w:rFonts w:asciiTheme="majorBidi" w:hAnsiTheme="majorBidi" w:cstheme="majorBidi"/>
          <w:sz w:val="24"/>
          <w:szCs w:val="24"/>
        </w:rPr>
        <w:t>bispectral</w:t>
      </w:r>
      <w:proofErr w:type="spellEnd"/>
      <w:r w:rsidR="006D5CBF" w:rsidRPr="00FF1DE5">
        <w:rPr>
          <w:rStyle w:val="Bodytext0"/>
          <w:rFonts w:asciiTheme="majorBidi" w:hAnsiTheme="majorBidi" w:cstheme="majorBidi"/>
          <w:sz w:val="24"/>
          <w:szCs w:val="24"/>
        </w:rPr>
        <w:t xml:space="preserve"> index) </w:t>
      </w:r>
      <w:r w:rsidRPr="00FF1DE5">
        <w:rPr>
          <w:rStyle w:val="Bodytext0"/>
          <w:rFonts w:asciiTheme="majorBidi" w:hAnsiTheme="majorBidi" w:cstheme="majorBidi"/>
          <w:sz w:val="24"/>
          <w:szCs w:val="24"/>
        </w:rPr>
        <w:t>value be</w:t>
      </w:r>
      <w:r w:rsidRPr="00FF1DE5">
        <w:rPr>
          <w:rStyle w:val="Bodytext0"/>
          <w:rFonts w:asciiTheme="majorBidi" w:hAnsiTheme="majorBidi" w:cstheme="majorBidi"/>
          <w:sz w:val="24"/>
          <w:szCs w:val="24"/>
        </w:rPr>
        <w:softHyphen/>
        <w:t>tween 40 and 60</w:t>
      </w:r>
      <w:r w:rsidRPr="00FF1DE5">
        <w:rPr>
          <w:rFonts w:asciiTheme="majorBidi" w:hAnsiTheme="majorBidi" w:cstheme="majorBidi"/>
        </w:rPr>
        <w:t>.</w:t>
      </w:r>
      <w:r w:rsidR="003C4C98" w:rsidRPr="00FF1DE5">
        <w:rPr>
          <w:rFonts w:asciiTheme="majorBidi" w:hAnsiTheme="majorBidi" w:cstheme="majorBidi"/>
          <w:vertAlign w:val="superscript"/>
        </w:rPr>
        <w:t>5</w:t>
      </w:r>
      <w:r w:rsidRPr="00FF1DE5">
        <w:rPr>
          <w:rStyle w:val="Bodytext0"/>
          <w:rFonts w:asciiTheme="majorBidi" w:hAnsiTheme="majorBidi" w:cstheme="majorBidi"/>
          <w:sz w:val="24"/>
          <w:szCs w:val="24"/>
        </w:rPr>
        <w:t xml:space="preserve"> </w:t>
      </w:r>
      <w:proofErr w:type="spellStart"/>
      <w:r w:rsidRPr="00FF1DE5">
        <w:rPr>
          <w:rStyle w:val="Bodytext0"/>
          <w:rFonts w:asciiTheme="majorBidi" w:hAnsiTheme="majorBidi" w:cstheme="majorBidi"/>
          <w:sz w:val="24"/>
          <w:szCs w:val="24"/>
        </w:rPr>
        <w:t>Kil</w:t>
      </w:r>
      <w:proofErr w:type="spellEnd"/>
      <w:r w:rsidRPr="00FF1DE5">
        <w:rPr>
          <w:rStyle w:val="Bodytext0"/>
          <w:rFonts w:asciiTheme="majorBidi" w:hAnsiTheme="majorBidi" w:cstheme="majorBidi"/>
          <w:sz w:val="24"/>
          <w:szCs w:val="24"/>
        </w:rPr>
        <w:t xml:space="preserve"> </w:t>
      </w:r>
      <w:r w:rsidRPr="00FF1DE5">
        <w:rPr>
          <w:rStyle w:val="Bodytext0"/>
          <w:rFonts w:asciiTheme="majorBidi" w:hAnsiTheme="majorBidi" w:cstheme="majorBidi"/>
          <w:i/>
          <w:iCs/>
          <w:sz w:val="24"/>
          <w:szCs w:val="24"/>
        </w:rPr>
        <w:t>et al</w:t>
      </w:r>
      <w:r w:rsidR="006D5CBF" w:rsidRPr="00FF1DE5">
        <w:rPr>
          <w:rStyle w:val="Bodytext0"/>
          <w:rFonts w:asciiTheme="majorBidi" w:hAnsiTheme="majorBidi" w:cstheme="majorBidi"/>
          <w:i/>
          <w:iCs/>
          <w:sz w:val="24"/>
          <w:szCs w:val="24"/>
        </w:rPr>
        <w:t>.</w:t>
      </w:r>
      <w:r w:rsidRPr="00FF1DE5">
        <w:rPr>
          <w:rStyle w:val="Bodytext0"/>
          <w:rFonts w:asciiTheme="majorBidi" w:hAnsiTheme="majorBidi" w:cstheme="majorBidi"/>
          <w:sz w:val="24"/>
          <w:szCs w:val="24"/>
        </w:rPr>
        <w:t xml:space="preserve"> reported that</w:t>
      </w:r>
      <w:r w:rsidR="006D5CBF" w:rsidRPr="00FF1DE5">
        <w:rPr>
          <w:rStyle w:val="Bodytext0"/>
          <w:rFonts w:asciiTheme="majorBidi" w:hAnsiTheme="majorBidi" w:cstheme="majorBidi"/>
          <w:sz w:val="24"/>
          <w:szCs w:val="24"/>
        </w:rPr>
        <w:t>, during the induction of an</w:t>
      </w:r>
      <w:r w:rsidRPr="00FF1DE5">
        <w:rPr>
          <w:rStyle w:val="Bodytext0"/>
          <w:rFonts w:asciiTheme="majorBidi" w:hAnsiTheme="majorBidi" w:cstheme="majorBidi"/>
          <w:sz w:val="24"/>
          <w:szCs w:val="24"/>
        </w:rPr>
        <w:t xml:space="preserve">esthesia, patients with higher levels of both state and trait anxieties required greater amounts of </w:t>
      </w:r>
      <w:proofErr w:type="spellStart"/>
      <w:r w:rsidRPr="00FF1DE5">
        <w:rPr>
          <w:rStyle w:val="Bodytext0"/>
          <w:rFonts w:asciiTheme="majorBidi" w:hAnsiTheme="majorBidi" w:cstheme="majorBidi"/>
          <w:sz w:val="24"/>
          <w:szCs w:val="24"/>
        </w:rPr>
        <w:t>propofol</w:t>
      </w:r>
      <w:proofErr w:type="spellEnd"/>
      <w:r w:rsidRPr="00FF1DE5">
        <w:rPr>
          <w:rStyle w:val="Bodytext0"/>
          <w:rFonts w:asciiTheme="majorBidi" w:hAnsiTheme="majorBidi" w:cstheme="majorBidi"/>
          <w:sz w:val="24"/>
          <w:szCs w:val="24"/>
        </w:rPr>
        <w:t xml:space="preserve"> to</w:t>
      </w:r>
      <w:r w:rsidR="003C4C98" w:rsidRPr="00FF1DE5">
        <w:rPr>
          <w:rStyle w:val="Bodytext0"/>
          <w:rFonts w:asciiTheme="majorBidi" w:hAnsiTheme="majorBidi" w:cstheme="majorBidi"/>
          <w:sz w:val="24"/>
          <w:szCs w:val="24"/>
        </w:rPr>
        <w:t xml:space="preserve"> reach light (85) and moderate </w:t>
      </w:r>
      <w:r w:rsidRPr="00FF1DE5">
        <w:rPr>
          <w:rStyle w:val="Bodytext0"/>
          <w:rFonts w:asciiTheme="majorBidi" w:hAnsiTheme="majorBidi" w:cstheme="majorBidi"/>
          <w:sz w:val="24"/>
          <w:szCs w:val="24"/>
        </w:rPr>
        <w:t>levels (75) of sedation.</w:t>
      </w:r>
      <w:r w:rsidR="003C4C98" w:rsidRPr="00FF1DE5">
        <w:rPr>
          <w:rStyle w:val="Bodytext0"/>
          <w:rFonts w:asciiTheme="majorBidi" w:hAnsiTheme="majorBidi" w:cstheme="majorBidi"/>
          <w:sz w:val="24"/>
          <w:szCs w:val="24"/>
          <w:vertAlign w:val="superscript"/>
        </w:rPr>
        <w:t>6</w:t>
      </w:r>
      <w:r w:rsidRPr="00FF1DE5">
        <w:rPr>
          <w:rStyle w:val="Bodytext0"/>
          <w:rFonts w:asciiTheme="majorBidi" w:hAnsiTheme="majorBidi" w:cstheme="majorBidi"/>
          <w:sz w:val="24"/>
          <w:szCs w:val="24"/>
        </w:rPr>
        <w:t xml:space="preserve"> However, the amount of </w:t>
      </w:r>
      <w:proofErr w:type="spellStart"/>
      <w:r w:rsidRPr="00FF1DE5">
        <w:rPr>
          <w:rStyle w:val="Bodytext0"/>
          <w:rFonts w:asciiTheme="majorBidi" w:hAnsiTheme="majorBidi" w:cstheme="majorBidi"/>
          <w:sz w:val="24"/>
          <w:szCs w:val="24"/>
        </w:rPr>
        <w:t>Propofol</w:t>
      </w:r>
      <w:proofErr w:type="spellEnd"/>
      <w:r w:rsidRPr="00FF1DE5">
        <w:rPr>
          <w:rStyle w:val="Bodytext0"/>
          <w:rFonts w:asciiTheme="majorBidi" w:hAnsiTheme="majorBidi" w:cstheme="majorBidi"/>
          <w:sz w:val="24"/>
          <w:szCs w:val="24"/>
        </w:rPr>
        <w:t xml:space="preserve"> required to reach a deep level of sedation (BIS 65), was associated with higher levels of trait, but not state anxiety.</w:t>
      </w:r>
    </w:p>
    <w:p w:rsidR="00A43880" w:rsidRPr="00FF1DE5" w:rsidRDefault="00A43880" w:rsidP="00B72110">
      <w:pPr>
        <w:pStyle w:val="BodyTextIndent"/>
        <w:tabs>
          <w:tab w:val="left" w:pos="0"/>
        </w:tabs>
        <w:spacing w:line="480" w:lineRule="auto"/>
        <w:ind w:left="0"/>
        <w:jc w:val="both"/>
        <w:rPr>
          <w:rStyle w:val="Bodytext0"/>
          <w:rFonts w:asciiTheme="majorBidi" w:hAnsiTheme="majorBidi" w:cstheme="majorBidi"/>
          <w:sz w:val="24"/>
          <w:szCs w:val="24"/>
        </w:rPr>
      </w:pPr>
      <w:r w:rsidRPr="00FF1DE5">
        <w:rPr>
          <w:rStyle w:val="Bodytext0"/>
          <w:rFonts w:asciiTheme="majorBidi" w:hAnsiTheme="majorBidi" w:cstheme="majorBidi"/>
          <w:sz w:val="24"/>
          <w:szCs w:val="24"/>
        </w:rPr>
        <w:t xml:space="preserve">On the contrary, Morley </w:t>
      </w:r>
      <w:r w:rsidRPr="00FF1DE5">
        <w:rPr>
          <w:rStyle w:val="Bodytext0"/>
          <w:rFonts w:asciiTheme="majorBidi" w:hAnsiTheme="majorBidi" w:cstheme="majorBidi"/>
          <w:i/>
          <w:iCs/>
          <w:sz w:val="24"/>
          <w:szCs w:val="24"/>
        </w:rPr>
        <w:t>et al</w:t>
      </w:r>
      <w:r w:rsidRPr="00FF1DE5">
        <w:rPr>
          <w:rStyle w:val="Bodytext0"/>
          <w:rFonts w:asciiTheme="majorBidi" w:hAnsiTheme="majorBidi" w:cstheme="majorBidi"/>
          <w:sz w:val="24"/>
          <w:szCs w:val="24"/>
        </w:rPr>
        <w:t>.</w:t>
      </w:r>
      <w:r w:rsidRPr="00FF1DE5">
        <w:rPr>
          <w:rStyle w:val="Bodytext0"/>
          <w:rFonts w:asciiTheme="majorBidi" w:hAnsiTheme="majorBidi" w:cstheme="majorBidi"/>
          <w:sz w:val="24"/>
          <w:szCs w:val="24"/>
          <w:vertAlign w:val="superscript"/>
        </w:rPr>
        <w:t xml:space="preserve"> </w:t>
      </w:r>
      <w:r w:rsidRPr="00FF1DE5">
        <w:rPr>
          <w:rStyle w:val="Bodytext0"/>
          <w:rFonts w:asciiTheme="majorBidi" w:hAnsiTheme="majorBidi" w:cstheme="majorBidi"/>
          <w:sz w:val="24"/>
          <w:szCs w:val="24"/>
        </w:rPr>
        <w:t>did not observe</w:t>
      </w:r>
      <w:r w:rsidR="006D5CBF" w:rsidRPr="00FF1DE5">
        <w:rPr>
          <w:rStyle w:val="Bodytext0"/>
          <w:rFonts w:asciiTheme="majorBidi" w:hAnsiTheme="majorBidi" w:cstheme="majorBidi"/>
          <w:sz w:val="24"/>
          <w:szCs w:val="24"/>
        </w:rPr>
        <w:t xml:space="preserve"> any influence of the STAI-T or STAI-S</w:t>
      </w:r>
      <w:r w:rsidRPr="00FF1DE5">
        <w:rPr>
          <w:rStyle w:val="Bodytext0"/>
          <w:rFonts w:asciiTheme="majorBidi" w:hAnsiTheme="majorBidi" w:cstheme="majorBidi"/>
          <w:sz w:val="24"/>
          <w:szCs w:val="24"/>
        </w:rPr>
        <w:t xml:space="preserve"> with </w:t>
      </w:r>
      <w:proofErr w:type="spellStart"/>
      <w:r w:rsidRPr="00FF1DE5">
        <w:rPr>
          <w:rStyle w:val="Bodytext0"/>
          <w:rFonts w:asciiTheme="majorBidi" w:hAnsiTheme="majorBidi" w:cstheme="majorBidi"/>
          <w:sz w:val="24"/>
          <w:szCs w:val="24"/>
        </w:rPr>
        <w:t>propofol</w:t>
      </w:r>
      <w:proofErr w:type="spellEnd"/>
      <w:r w:rsidRPr="00FF1DE5">
        <w:rPr>
          <w:rStyle w:val="Bodytext0"/>
          <w:rFonts w:asciiTheme="majorBidi" w:hAnsiTheme="majorBidi" w:cstheme="majorBidi"/>
          <w:sz w:val="24"/>
          <w:szCs w:val="24"/>
        </w:rPr>
        <w:t xml:space="preserve"> dose administered to achieve a BIS of 50.</w:t>
      </w:r>
      <w:r w:rsidR="003C4C98" w:rsidRPr="00FF1DE5">
        <w:rPr>
          <w:rStyle w:val="Bodytext0"/>
          <w:rFonts w:asciiTheme="majorBidi" w:hAnsiTheme="majorBidi" w:cstheme="majorBidi"/>
          <w:sz w:val="24"/>
          <w:szCs w:val="24"/>
          <w:vertAlign w:val="superscript"/>
        </w:rPr>
        <w:t>9</w:t>
      </w:r>
      <w:r w:rsidRPr="00FF1DE5">
        <w:rPr>
          <w:rStyle w:val="Bodytext0"/>
          <w:rFonts w:asciiTheme="majorBidi" w:hAnsiTheme="majorBidi" w:cstheme="majorBidi"/>
          <w:sz w:val="24"/>
          <w:szCs w:val="24"/>
        </w:rPr>
        <w:t xml:space="preserve"> Gras S </w:t>
      </w:r>
      <w:r w:rsidRPr="00FF1DE5">
        <w:rPr>
          <w:rStyle w:val="Bodytext0"/>
          <w:rFonts w:asciiTheme="majorBidi" w:hAnsiTheme="majorBidi" w:cstheme="majorBidi"/>
          <w:i/>
          <w:iCs/>
          <w:sz w:val="24"/>
          <w:szCs w:val="24"/>
        </w:rPr>
        <w:t>et al</w:t>
      </w:r>
      <w:r w:rsidR="00F23DFD" w:rsidRPr="00FF1DE5">
        <w:rPr>
          <w:rStyle w:val="Bodytext0"/>
          <w:rFonts w:asciiTheme="majorBidi" w:hAnsiTheme="majorBidi" w:cstheme="majorBidi"/>
          <w:sz w:val="24"/>
          <w:szCs w:val="24"/>
        </w:rPr>
        <w:t>.</w:t>
      </w:r>
      <w:r w:rsidRPr="00FF1DE5">
        <w:rPr>
          <w:rStyle w:val="Bodytext0"/>
          <w:rFonts w:asciiTheme="majorBidi" w:hAnsiTheme="majorBidi" w:cstheme="majorBidi"/>
          <w:sz w:val="24"/>
          <w:szCs w:val="24"/>
        </w:rPr>
        <w:t xml:space="preserve"> found no strong correlation between state and trait anxiety with </w:t>
      </w:r>
      <w:proofErr w:type="spellStart"/>
      <w:r w:rsidRPr="00FF1DE5">
        <w:rPr>
          <w:rStyle w:val="Bodytext0"/>
          <w:rFonts w:asciiTheme="majorBidi" w:hAnsiTheme="majorBidi" w:cstheme="majorBidi"/>
          <w:sz w:val="24"/>
          <w:szCs w:val="24"/>
        </w:rPr>
        <w:t>propofol</w:t>
      </w:r>
      <w:proofErr w:type="spellEnd"/>
      <w:r w:rsidRPr="00FF1DE5">
        <w:rPr>
          <w:rStyle w:val="Bodytext0"/>
          <w:rFonts w:asciiTheme="majorBidi" w:hAnsiTheme="majorBidi" w:cstheme="majorBidi"/>
          <w:sz w:val="24"/>
          <w:szCs w:val="24"/>
        </w:rPr>
        <w:t xml:space="preserve"> dose requirement for loss of consciousness</w:t>
      </w:r>
      <w:r w:rsidR="00F23DFD" w:rsidRPr="00FF1DE5">
        <w:rPr>
          <w:rStyle w:val="Bodytext0"/>
          <w:rFonts w:asciiTheme="majorBidi" w:hAnsiTheme="majorBidi" w:cstheme="majorBidi"/>
          <w:sz w:val="24"/>
          <w:szCs w:val="24"/>
        </w:rPr>
        <w:t xml:space="preserve"> </w:t>
      </w:r>
      <w:r w:rsidR="00F23DFD" w:rsidRPr="00FF1DE5">
        <w:rPr>
          <w:rStyle w:val="Bodytext0"/>
          <w:rFonts w:asciiTheme="majorBidi" w:hAnsiTheme="majorBidi" w:cstheme="majorBidi"/>
          <w:sz w:val="24"/>
          <w:szCs w:val="24"/>
        </w:rPr>
        <w:lastRenderedPageBreak/>
        <w:t>(LOC)</w:t>
      </w:r>
      <w:r w:rsidRPr="00FF1DE5">
        <w:rPr>
          <w:rStyle w:val="Bodytext0"/>
          <w:rFonts w:asciiTheme="majorBidi" w:hAnsiTheme="majorBidi" w:cstheme="majorBidi"/>
          <w:sz w:val="24"/>
          <w:szCs w:val="24"/>
        </w:rPr>
        <w:t>.</w:t>
      </w:r>
      <w:r w:rsidR="003C4C98" w:rsidRPr="00FF1DE5">
        <w:rPr>
          <w:rStyle w:val="Bodytext0"/>
          <w:rFonts w:asciiTheme="majorBidi" w:hAnsiTheme="majorBidi" w:cstheme="majorBidi"/>
          <w:sz w:val="24"/>
          <w:szCs w:val="24"/>
          <w:vertAlign w:val="superscript"/>
        </w:rPr>
        <w:t>10</w:t>
      </w:r>
      <w:r w:rsidRPr="00FF1DE5">
        <w:rPr>
          <w:rStyle w:val="Bodytext0"/>
          <w:rFonts w:asciiTheme="majorBidi" w:hAnsiTheme="majorBidi" w:cstheme="majorBidi"/>
          <w:sz w:val="24"/>
          <w:szCs w:val="24"/>
        </w:rPr>
        <w:t xml:space="preserve"> They found significant positive correlation between HR in the operating room and </w:t>
      </w:r>
      <w:proofErr w:type="spellStart"/>
      <w:r w:rsidRPr="00FF1DE5">
        <w:rPr>
          <w:rStyle w:val="Bodytext0"/>
          <w:rFonts w:asciiTheme="majorBidi" w:hAnsiTheme="majorBidi" w:cstheme="majorBidi"/>
          <w:sz w:val="24"/>
          <w:szCs w:val="24"/>
        </w:rPr>
        <w:t>prop</w:t>
      </w:r>
      <w:r w:rsidR="00F23DFD" w:rsidRPr="00FF1DE5">
        <w:rPr>
          <w:rStyle w:val="Bodytext0"/>
          <w:rFonts w:asciiTheme="majorBidi" w:hAnsiTheme="majorBidi" w:cstheme="majorBidi"/>
          <w:sz w:val="24"/>
          <w:szCs w:val="24"/>
        </w:rPr>
        <w:t>ofol</w:t>
      </w:r>
      <w:proofErr w:type="spellEnd"/>
      <w:r w:rsidR="00F23DFD" w:rsidRPr="00FF1DE5">
        <w:rPr>
          <w:rStyle w:val="Bodytext0"/>
          <w:rFonts w:asciiTheme="majorBidi" w:hAnsiTheme="majorBidi" w:cstheme="majorBidi"/>
          <w:sz w:val="24"/>
          <w:szCs w:val="24"/>
        </w:rPr>
        <w:t xml:space="preserve"> dose and also between STAI-S</w:t>
      </w:r>
      <w:r w:rsidRPr="00FF1DE5">
        <w:rPr>
          <w:rStyle w:val="Bodytext0"/>
          <w:rFonts w:asciiTheme="majorBidi" w:hAnsiTheme="majorBidi" w:cstheme="majorBidi"/>
          <w:sz w:val="24"/>
          <w:szCs w:val="24"/>
        </w:rPr>
        <w:t xml:space="preserve"> in the opera</w:t>
      </w:r>
      <w:r w:rsidR="00F23DFD" w:rsidRPr="00FF1DE5">
        <w:rPr>
          <w:rStyle w:val="Bodytext0"/>
          <w:rFonts w:asciiTheme="majorBidi" w:hAnsiTheme="majorBidi" w:cstheme="majorBidi"/>
          <w:sz w:val="24"/>
          <w:szCs w:val="24"/>
        </w:rPr>
        <w:t>ting room and HR,</w:t>
      </w:r>
      <w:r w:rsidRPr="00FF1DE5">
        <w:rPr>
          <w:rStyle w:val="Bodytext0"/>
          <w:rFonts w:asciiTheme="majorBidi" w:hAnsiTheme="majorBidi" w:cstheme="majorBidi"/>
          <w:sz w:val="24"/>
          <w:szCs w:val="24"/>
        </w:rPr>
        <w:t xml:space="preserve"> </w:t>
      </w:r>
      <w:r w:rsidR="00F23DFD" w:rsidRPr="00FF1DE5">
        <w:rPr>
          <w:rStyle w:val="Bodytext0"/>
          <w:rFonts w:asciiTheme="majorBidi" w:hAnsiTheme="majorBidi" w:cstheme="majorBidi"/>
          <w:sz w:val="24"/>
          <w:szCs w:val="24"/>
        </w:rPr>
        <w:t>there</w:t>
      </w:r>
      <w:r w:rsidRPr="00FF1DE5">
        <w:rPr>
          <w:rStyle w:val="Bodytext0"/>
          <w:rFonts w:asciiTheme="majorBidi" w:hAnsiTheme="majorBidi" w:cstheme="majorBidi"/>
          <w:sz w:val="24"/>
          <w:szCs w:val="24"/>
        </w:rPr>
        <w:t>by suppo</w:t>
      </w:r>
      <w:r w:rsidR="00F23DFD" w:rsidRPr="00FF1DE5">
        <w:rPr>
          <w:rStyle w:val="Bodytext0"/>
          <w:rFonts w:asciiTheme="majorBidi" w:hAnsiTheme="majorBidi" w:cstheme="majorBidi"/>
          <w:sz w:val="24"/>
          <w:szCs w:val="24"/>
        </w:rPr>
        <w:t>rting an indirect effect of pre-an</w:t>
      </w:r>
      <w:r w:rsidRPr="00FF1DE5">
        <w:rPr>
          <w:rStyle w:val="Bodytext0"/>
          <w:rFonts w:asciiTheme="majorBidi" w:hAnsiTheme="majorBidi" w:cstheme="majorBidi"/>
          <w:sz w:val="24"/>
          <w:szCs w:val="24"/>
        </w:rPr>
        <w:t>esthetic anxiety t</w:t>
      </w:r>
      <w:r w:rsidR="00F23DFD" w:rsidRPr="00FF1DE5">
        <w:rPr>
          <w:rStyle w:val="Bodytext0"/>
          <w:rFonts w:asciiTheme="majorBidi" w:hAnsiTheme="majorBidi" w:cstheme="majorBidi"/>
          <w:sz w:val="24"/>
          <w:szCs w:val="24"/>
        </w:rPr>
        <w:t>hrough changes in the HR</w:t>
      </w:r>
      <w:r w:rsidRPr="00FF1DE5">
        <w:rPr>
          <w:rStyle w:val="Bodytext0"/>
          <w:rFonts w:asciiTheme="majorBidi" w:hAnsiTheme="majorBidi" w:cstheme="majorBidi"/>
          <w:sz w:val="24"/>
          <w:szCs w:val="24"/>
        </w:rPr>
        <w:t>.</w:t>
      </w:r>
    </w:p>
    <w:p w:rsidR="00A43880" w:rsidRPr="00FF1DE5" w:rsidRDefault="00A43880" w:rsidP="00132481">
      <w:pPr>
        <w:pStyle w:val="BodyTextIndent"/>
        <w:tabs>
          <w:tab w:val="left" w:pos="0"/>
        </w:tabs>
        <w:spacing w:line="480" w:lineRule="auto"/>
        <w:ind w:left="0"/>
        <w:jc w:val="both"/>
        <w:rPr>
          <w:rFonts w:asciiTheme="majorBidi" w:hAnsiTheme="majorBidi" w:cstheme="majorBidi"/>
        </w:rPr>
      </w:pPr>
      <w:r w:rsidRPr="00FF1DE5">
        <w:rPr>
          <w:rFonts w:asciiTheme="majorBidi" w:hAnsiTheme="majorBidi" w:cstheme="majorBidi"/>
        </w:rPr>
        <w:t xml:space="preserve">In our study, we found strong positive correlation between trait anxiety and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dose require</w:t>
      </w:r>
      <w:r w:rsidR="00F23DFD" w:rsidRPr="00FF1DE5">
        <w:rPr>
          <w:rFonts w:asciiTheme="majorBidi" w:hAnsiTheme="majorBidi" w:cstheme="majorBidi"/>
        </w:rPr>
        <w:t>ment and also between HR</w:t>
      </w:r>
      <w:r w:rsidRPr="00FF1DE5">
        <w:rPr>
          <w:rFonts w:asciiTheme="majorBidi" w:hAnsiTheme="majorBidi" w:cstheme="majorBidi"/>
        </w:rPr>
        <w:t xml:space="preserve"> and the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dose requirement with a p-value </w:t>
      </w:r>
      <w:r w:rsidR="00F23DFD" w:rsidRPr="00FF1DE5">
        <w:rPr>
          <w:rFonts w:asciiTheme="majorBidi" w:hAnsiTheme="majorBidi" w:cstheme="majorBidi"/>
        </w:rPr>
        <w:t xml:space="preserve">of </w:t>
      </w:r>
      <w:r w:rsidRPr="00FF1DE5">
        <w:rPr>
          <w:rFonts w:asciiTheme="majorBidi" w:hAnsiTheme="majorBidi" w:cstheme="majorBidi"/>
        </w:rPr>
        <w:t>&lt;0.05</w:t>
      </w:r>
      <w:r w:rsidR="00F23DFD" w:rsidRPr="00FF1DE5">
        <w:rPr>
          <w:rFonts w:asciiTheme="majorBidi" w:hAnsiTheme="majorBidi" w:cstheme="majorBidi"/>
        </w:rPr>
        <w:t xml:space="preserve">. This is in contrary with Gras S </w:t>
      </w:r>
      <w:r w:rsidR="00F23DFD" w:rsidRPr="00FF1DE5">
        <w:rPr>
          <w:rFonts w:asciiTheme="majorBidi" w:hAnsiTheme="majorBidi" w:cstheme="majorBidi"/>
          <w:i/>
          <w:iCs/>
        </w:rPr>
        <w:t>et al</w:t>
      </w:r>
      <w:r w:rsidR="00111E2F" w:rsidRPr="00FF1DE5">
        <w:rPr>
          <w:rFonts w:asciiTheme="majorBidi" w:hAnsiTheme="majorBidi" w:cstheme="majorBidi"/>
          <w:i/>
          <w:iCs/>
        </w:rPr>
        <w:t>.</w:t>
      </w:r>
      <w:r w:rsidRPr="00FF1DE5">
        <w:rPr>
          <w:rFonts w:asciiTheme="majorBidi" w:hAnsiTheme="majorBidi" w:cstheme="majorBidi"/>
        </w:rPr>
        <w:t xml:space="preserve"> who found strong positive correlation </w:t>
      </w:r>
      <w:r w:rsidR="00F23DFD" w:rsidRPr="00FF1DE5">
        <w:rPr>
          <w:rFonts w:asciiTheme="majorBidi" w:hAnsiTheme="majorBidi" w:cstheme="majorBidi"/>
        </w:rPr>
        <w:t>only between HR</w:t>
      </w:r>
      <w:r w:rsidRPr="00FF1DE5">
        <w:rPr>
          <w:rFonts w:asciiTheme="majorBidi" w:hAnsiTheme="majorBidi" w:cstheme="majorBidi"/>
        </w:rPr>
        <w:t xml:space="preserve"> and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dose requirement.</w:t>
      </w:r>
      <w:r w:rsidR="003C4C98" w:rsidRPr="00FF1DE5">
        <w:rPr>
          <w:rFonts w:asciiTheme="majorBidi" w:hAnsiTheme="majorBidi" w:cstheme="majorBidi"/>
          <w:vertAlign w:val="superscript"/>
        </w:rPr>
        <w:t>10</w:t>
      </w:r>
      <w:r w:rsidRPr="00FF1DE5">
        <w:rPr>
          <w:rFonts w:asciiTheme="majorBidi" w:hAnsiTheme="majorBidi" w:cstheme="majorBidi"/>
        </w:rPr>
        <w:t xml:space="preserve"> </w:t>
      </w:r>
      <w:r w:rsidRPr="00FF1DE5">
        <w:rPr>
          <w:rStyle w:val="Bodytext0"/>
          <w:rFonts w:asciiTheme="majorBidi" w:hAnsiTheme="majorBidi" w:cstheme="majorBidi"/>
          <w:sz w:val="24"/>
          <w:szCs w:val="24"/>
        </w:rPr>
        <w:t>It has been proven a long back that anxiety i</w:t>
      </w:r>
      <w:r w:rsidR="00111E2F" w:rsidRPr="00FF1DE5">
        <w:rPr>
          <w:rStyle w:val="Bodytext0"/>
          <w:rFonts w:asciiTheme="majorBidi" w:hAnsiTheme="majorBidi" w:cstheme="majorBidi"/>
          <w:sz w:val="24"/>
          <w:szCs w:val="24"/>
        </w:rPr>
        <w:t>s associated with a raise in</w:t>
      </w:r>
      <w:r w:rsidRPr="00FF1DE5">
        <w:rPr>
          <w:rStyle w:val="Bodytext0"/>
          <w:rFonts w:asciiTheme="majorBidi" w:hAnsiTheme="majorBidi" w:cstheme="majorBidi"/>
          <w:sz w:val="24"/>
          <w:szCs w:val="24"/>
        </w:rPr>
        <w:t xml:space="preserve"> both HR and cardiac output</w:t>
      </w:r>
      <w:r w:rsidR="00111E2F" w:rsidRPr="00FF1DE5">
        <w:rPr>
          <w:rStyle w:val="Bodytext0"/>
          <w:rFonts w:asciiTheme="majorBidi" w:hAnsiTheme="majorBidi" w:cstheme="majorBidi"/>
          <w:sz w:val="24"/>
          <w:szCs w:val="24"/>
        </w:rPr>
        <w:t xml:space="preserve"> (CO)</w:t>
      </w:r>
      <w:r w:rsidRPr="00FF1DE5">
        <w:rPr>
          <w:rStyle w:val="Bodytext0"/>
          <w:rFonts w:asciiTheme="majorBidi" w:hAnsiTheme="majorBidi" w:cstheme="majorBidi"/>
          <w:sz w:val="24"/>
          <w:szCs w:val="24"/>
        </w:rPr>
        <w:t>.</w:t>
      </w:r>
      <w:r w:rsidR="00132481" w:rsidRPr="00FF1DE5">
        <w:rPr>
          <w:rStyle w:val="Bodytext0"/>
          <w:rFonts w:asciiTheme="majorBidi" w:hAnsiTheme="majorBidi" w:cstheme="majorBidi"/>
          <w:sz w:val="24"/>
          <w:szCs w:val="24"/>
          <w:vertAlign w:val="superscript"/>
        </w:rPr>
        <w:t>11</w:t>
      </w:r>
      <w:proofErr w:type="gramStart"/>
      <w:r w:rsidR="00132481" w:rsidRPr="00FF1DE5">
        <w:rPr>
          <w:rStyle w:val="Bodytext0"/>
          <w:rFonts w:asciiTheme="majorBidi" w:hAnsiTheme="majorBidi" w:cstheme="majorBidi"/>
          <w:sz w:val="24"/>
          <w:szCs w:val="24"/>
          <w:vertAlign w:val="superscript"/>
        </w:rPr>
        <w:t>,12,20</w:t>
      </w:r>
      <w:proofErr w:type="gramEnd"/>
      <w:r w:rsidRPr="00FF1DE5">
        <w:rPr>
          <w:rStyle w:val="Bodytext0"/>
          <w:rFonts w:asciiTheme="majorBidi" w:hAnsiTheme="majorBidi" w:cstheme="majorBidi"/>
          <w:sz w:val="24"/>
          <w:szCs w:val="24"/>
          <w:vertAlign w:val="superscript"/>
        </w:rPr>
        <w:t xml:space="preserve"> </w:t>
      </w:r>
      <w:r w:rsidRPr="00FF1DE5">
        <w:rPr>
          <w:rStyle w:val="Bodytext0"/>
          <w:rFonts w:asciiTheme="majorBidi" w:hAnsiTheme="majorBidi" w:cstheme="majorBidi"/>
          <w:sz w:val="24"/>
          <w:szCs w:val="24"/>
        </w:rPr>
        <w:t xml:space="preserve">Fell </w:t>
      </w:r>
      <w:r w:rsidRPr="00FF1DE5">
        <w:rPr>
          <w:rStyle w:val="Bodytext0"/>
          <w:rFonts w:asciiTheme="majorBidi" w:hAnsiTheme="majorBidi" w:cstheme="majorBidi"/>
          <w:i/>
          <w:iCs/>
          <w:sz w:val="24"/>
          <w:szCs w:val="24"/>
        </w:rPr>
        <w:t>et al</w:t>
      </w:r>
      <w:r w:rsidR="00111E2F" w:rsidRPr="00FF1DE5">
        <w:rPr>
          <w:rStyle w:val="Bodytext0"/>
          <w:rFonts w:asciiTheme="majorBidi" w:hAnsiTheme="majorBidi" w:cstheme="majorBidi"/>
          <w:i/>
          <w:iCs/>
          <w:sz w:val="24"/>
          <w:szCs w:val="24"/>
        </w:rPr>
        <w:t>.</w:t>
      </w:r>
      <w:r w:rsidR="00111E2F" w:rsidRPr="00FF1DE5">
        <w:rPr>
          <w:rStyle w:val="Bodytext0"/>
          <w:rFonts w:asciiTheme="majorBidi" w:hAnsiTheme="majorBidi" w:cstheme="majorBidi"/>
          <w:sz w:val="24"/>
          <w:szCs w:val="24"/>
        </w:rPr>
        <w:t xml:space="preserve"> suggested that</w:t>
      </w:r>
      <w:r w:rsidRPr="00FF1DE5">
        <w:rPr>
          <w:rStyle w:val="Bodytext0"/>
          <w:rFonts w:asciiTheme="majorBidi" w:hAnsiTheme="majorBidi" w:cstheme="majorBidi"/>
          <w:sz w:val="24"/>
          <w:szCs w:val="24"/>
        </w:rPr>
        <w:t xml:space="preserve"> anxiety and stress-induced adrenaline </w:t>
      </w:r>
      <w:r w:rsidR="00111E2F" w:rsidRPr="00FF1DE5">
        <w:rPr>
          <w:rStyle w:val="Bodytext0"/>
          <w:rFonts w:asciiTheme="majorBidi" w:hAnsiTheme="majorBidi" w:cstheme="majorBidi"/>
          <w:sz w:val="24"/>
          <w:szCs w:val="24"/>
        </w:rPr>
        <w:t>release may account for the preoperative increase in HR and CO</w:t>
      </w:r>
      <w:r w:rsidRPr="00FF1DE5">
        <w:rPr>
          <w:rStyle w:val="Bodytext0"/>
          <w:rFonts w:asciiTheme="majorBidi" w:hAnsiTheme="majorBidi" w:cstheme="majorBidi"/>
          <w:sz w:val="24"/>
          <w:szCs w:val="24"/>
        </w:rPr>
        <w:t>.</w:t>
      </w:r>
      <w:r w:rsidR="00132481" w:rsidRPr="00FF1DE5">
        <w:rPr>
          <w:rStyle w:val="Bodytext0"/>
          <w:rFonts w:asciiTheme="majorBidi" w:hAnsiTheme="majorBidi" w:cstheme="majorBidi"/>
          <w:sz w:val="24"/>
          <w:szCs w:val="24"/>
          <w:vertAlign w:val="superscript"/>
        </w:rPr>
        <w:t>21</w:t>
      </w:r>
      <w:r w:rsidR="00111E2F" w:rsidRPr="00FF1DE5">
        <w:rPr>
          <w:rFonts w:asciiTheme="majorBidi" w:hAnsiTheme="majorBidi" w:cstheme="majorBidi"/>
        </w:rPr>
        <w:t xml:space="preserve"> Anxiety </w:t>
      </w:r>
      <w:r w:rsidRPr="00FF1DE5">
        <w:rPr>
          <w:rFonts w:asciiTheme="majorBidi" w:hAnsiTheme="majorBidi" w:cstheme="majorBidi"/>
        </w:rPr>
        <w:t>causes increase in catecholamine levels through sy</w:t>
      </w:r>
      <w:r w:rsidR="00111E2F" w:rsidRPr="00FF1DE5">
        <w:rPr>
          <w:rFonts w:asciiTheme="majorBidi" w:hAnsiTheme="majorBidi" w:cstheme="majorBidi"/>
        </w:rPr>
        <w:t xml:space="preserve">mpathetic surge. </w:t>
      </w:r>
      <w:proofErr w:type="spellStart"/>
      <w:r w:rsidR="00111E2F" w:rsidRPr="00FF1DE5">
        <w:rPr>
          <w:rFonts w:asciiTheme="majorBidi" w:hAnsiTheme="majorBidi" w:cstheme="majorBidi"/>
        </w:rPr>
        <w:t>Catecholamines</w:t>
      </w:r>
      <w:proofErr w:type="spellEnd"/>
      <w:r w:rsidRPr="00FF1DE5">
        <w:rPr>
          <w:rFonts w:asciiTheme="majorBidi" w:hAnsiTheme="majorBidi" w:cstheme="majorBidi"/>
        </w:rPr>
        <w:t xml:space="preserve"> a</w:t>
      </w:r>
      <w:r w:rsidR="00111E2F" w:rsidRPr="00FF1DE5">
        <w:rPr>
          <w:rFonts w:asciiTheme="majorBidi" w:hAnsiTheme="majorBidi" w:cstheme="majorBidi"/>
        </w:rPr>
        <w:t>ffect CO</w:t>
      </w:r>
      <w:r w:rsidRPr="00FF1DE5">
        <w:rPr>
          <w:rFonts w:asciiTheme="majorBidi" w:hAnsiTheme="majorBidi" w:cstheme="majorBidi"/>
        </w:rPr>
        <w:t xml:space="preserve"> by increas</w:t>
      </w:r>
      <w:r w:rsidR="00111E2F" w:rsidRPr="00FF1DE5">
        <w:rPr>
          <w:rFonts w:asciiTheme="majorBidi" w:hAnsiTheme="majorBidi" w:cstheme="majorBidi"/>
        </w:rPr>
        <w:t>ing contractility and HR</w:t>
      </w:r>
      <w:r w:rsidRPr="00FF1DE5">
        <w:rPr>
          <w:rFonts w:asciiTheme="majorBidi" w:hAnsiTheme="majorBidi" w:cstheme="majorBidi"/>
        </w:rPr>
        <w:t xml:space="preserve">. </w:t>
      </w:r>
      <w:r w:rsidR="00111E2F" w:rsidRPr="00FF1DE5">
        <w:rPr>
          <w:rFonts w:asciiTheme="majorBidi" w:hAnsiTheme="majorBidi" w:cstheme="majorBidi"/>
        </w:rPr>
        <w:t xml:space="preserve">Hence </w:t>
      </w:r>
      <w:proofErr w:type="spellStart"/>
      <w:r w:rsidR="00111E2F" w:rsidRPr="00FF1DE5">
        <w:rPr>
          <w:rFonts w:asciiTheme="majorBidi" w:hAnsiTheme="majorBidi" w:cstheme="majorBidi"/>
        </w:rPr>
        <w:t>Propofol</w:t>
      </w:r>
      <w:proofErr w:type="spellEnd"/>
      <w:r w:rsidR="00111E2F" w:rsidRPr="00FF1DE5">
        <w:rPr>
          <w:rFonts w:asciiTheme="majorBidi" w:hAnsiTheme="majorBidi" w:cstheme="majorBidi"/>
        </w:rPr>
        <w:t xml:space="preserve"> dose requirement is</w:t>
      </w:r>
      <w:r w:rsidRPr="00FF1DE5">
        <w:rPr>
          <w:rFonts w:asciiTheme="majorBidi" w:hAnsiTheme="majorBidi" w:cstheme="majorBidi"/>
        </w:rPr>
        <w:t xml:space="preserve"> increased in anxiety as the</w:t>
      </w:r>
      <w:r w:rsidR="00111E2F" w:rsidRPr="00FF1DE5">
        <w:rPr>
          <w:rFonts w:asciiTheme="majorBidi" w:hAnsiTheme="majorBidi" w:cstheme="majorBidi"/>
        </w:rPr>
        <w:t>re is increase in CO by increase in both HR</w:t>
      </w:r>
      <w:r w:rsidRPr="00FF1DE5">
        <w:rPr>
          <w:rFonts w:asciiTheme="majorBidi" w:hAnsiTheme="majorBidi" w:cstheme="majorBidi"/>
        </w:rPr>
        <w:t xml:space="preserve"> and contractility.</w:t>
      </w:r>
    </w:p>
    <w:p w:rsidR="00A43880" w:rsidRPr="00FF1DE5" w:rsidRDefault="0047301D" w:rsidP="00A43880">
      <w:pPr>
        <w:pStyle w:val="BodyTextIndent"/>
        <w:tabs>
          <w:tab w:val="left" w:pos="0"/>
        </w:tabs>
        <w:spacing w:line="480" w:lineRule="auto"/>
        <w:ind w:left="0"/>
        <w:jc w:val="both"/>
        <w:rPr>
          <w:rStyle w:val="Bodytext0"/>
          <w:rFonts w:asciiTheme="majorBidi" w:hAnsiTheme="majorBidi" w:cstheme="majorBidi"/>
          <w:sz w:val="24"/>
          <w:szCs w:val="24"/>
        </w:rPr>
      </w:pPr>
      <w:r w:rsidRPr="00FF1DE5">
        <w:rPr>
          <w:rStyle w:val="Bodytext0"/>
          <w:rFonts w:asciiTheme="majorBidi" w:hAnsiTheme="majorBidi" w:cstheme="majorBidi"/>
          <w:sz w:val="24"/>
          <w:szCs w:val="24"/>
        </w:rPr>
        <w:t>Here</w:t>
      </w:r>
      <w:r w:rsidR="00A43880" w:rsidRPr="00FF1DE5">
        <w:rPr>
          <w:rStyle w:val="Bodytext0"/>
          <w:rFonts w:asciiTheme="majorBidi" w:hAnsiTheme="majorBidi" w:cstheme="majorBidi"/>
          <w:sz w:val="24"/>
          <w:szCs w:val="24"/>
        </w:rPr>
        <w:t xml:space="preserve"> we </w:t>
      </w:r>
      <w:r w:rsidRPr="00FF1DE5">
        <w:rPr>
          <w:rStyle w:val="Bodytext0"/>
          <w:rFonts w:asciiTheme="majorBidi" w:hAnsiTheme="majorBidi" w:cstheme="majorBidi"/>
          <w:sz w:val="24"/>
          <w:szCs w:val="24"/>
        </w:rPr>
        <w:t xml:space="preserve">have </w:t>
      </w:r>
      <w:r w:rsidR="00A43880" w:rsidRPr="00FF1DE5">
        <w:rPr>
          <w:rStyle w:val="Bodytext0"/>
          <w:rFonts w:asciiTheme="majorBidi" w:hAnsiTheme="majorBidi" w:cstheme="majorBidi"/>
          <w:sz w:val="24"/>
          <w:szCs w:val="24"/>
        </w:rPr>
        <w:t>chose</w:t>
      </w:r>
      <w:r w:rsidRPr="00FF1DE5">
        <w:rPr>
          <w:rStyle w:val="Bodytext0"/>
          <w:rFonts w:asciiTheme="majorBidi" w:hAnsiTheme="majorBidi" w:cstheme="majorBidi"/>
          <w:sz w:val="24"/>
          <w:szCs w:val="24"/>
        </w:rPr>
        <w:t>n</w:t>
      </w:r>
      <w:r w:rsidR="00A43880" w:rsidRPr="00FF1DE5">
        <w:rPr>
          <w:rStyle w:val="Bodytext0"/>
          <w:rFonts w:asciiTheme="majorBidi" w:hAnsiTheme="majorBidi" w:cstheme="majorBidi"/>
          <w:sz w:val="24"/>
          <w:szCs w:val="24"/>
        </w:rPr>
        <w:t xml:space="preserve"> loss of verbal contact as our clinical end point, because it is th</w:t>
      </w:r>
      <w:r w:rsidRPr="00FF1DE5">
        <w:rPr>
          <w:rStyle w:val="Bodytext0"/>
          <w:rFonts w:asciiTheme="majorBidi" w:hAnsiTheme="majorBidi" w:cstheme="majorBidi"/>
          <w:sz w:val="24"/>
          <w:szCs w:val="24"/>
        </w:rPr>
        <w:t>e commonly accepted terminal</w:t>
      </w:r>
      <w:r w:rsidR="00A43880" w:rsidRPr="00FF1DE5">
        <w:rPr>
          <w:rStyle w:val="Bodytext0"/>
          <w:rFonts w:asciiTheme="majorBidi" w:hAnsiTheme="majorBidi" w:cstheme="majorBidi"/>
          <w:sz w:val="24"/>
          <w:szCs w:val="24"/>
        </w:rPr>
        <w:t xml:space="preserve"> point used</w:t>
      </w:r>
      <w:r w:rsidRPr="00FF1DE5">
        <w:rPr>
          <w:rStyle w:val="Bodytext0"/>
          <w:rFonts w:asciiTheme="majorBidi" w:hAnsiTheme="majorBidi" w:cstheme="majorBidi"/>
          <w:sz w:val="24"/>
          <w:szCs w:val="24"/>
        </w:rPr>
        <w:t xml:space="preserve"> in many studies</w:t>
      </w:r>
      <w:r w:rsidR="00A43880" w:rsidRPr="00FF1DE5">
        <w:rPr>
          <w:rStyle w:val="Bodytext0"/>
          <w:rFonts w:asciiTheme="majorBidi" w:hAnsiTheme="majorBidi" w:cstheme="majorBidi"/>
          <w:sz w:val="24"/>
          <w:szCs w:val="24"/>
        </w:rPr>
        <w:t xml:space="preserve"> of the effects of hypnotic drugs.</w:t>
      </w:r>
      <w:r w:rsidR="00132481" w:rsidRPr="00FF1DE5">
        <w:rPr>
          <w:rStyle w:val="Bodytext0"/>
          <w:rFonts w:asciiTheme="majorBidi" w:hAnsiTheme="majorBidi" w:cstheme="majorBidi"/>
          <w:sz w:val="24"/>
          <w:szCs w:val="24"/>
          <w:vertAlign w:val="superscript"/>
        </w:rPr>
        <w:t>12</w:t>
      </w:r>
      <w:proofErr w:type="gramStart"/>
      <w:r w:rsidR="00132481" w:rsidRPr="00FF1DE5">
        <w:rPr>
          <w:rStyle w:val="Bodytext0"/>
          <w:rFonts w:asciiTheme="majorBidi" w:hAnsiTheme="majorBidi" w:cstheme="majorBidi"/>
          <w:sz w:val="24"/>
          <w:szCs w:val="24"/>
          <w:vertAlign w:val="superscript"/>
        </w:rPr>
        <w:t>,16</w:t>
      </w:r>
      <w:proofErr w:type="gramEnd"/>
      <w:r w:rsidR="00A43880" w:rsidRPr="00FF1DE5">
        <w:rPr>
          <w:rStyle w:val="Bodytext0"/>
          <w:rFonts w:asciiTheme="majorBidi" w:hAnsiTheme="majorBidi" w:cstheme="majorBidi"/>
          <w:sz w:val="24"/>
          <w:szCs w:val="24"/>
          <w:vertAlign w:val="superscript"/>
        </w:rPr>
        <w:t xml:space="preserve"> </w:t>
      </w:r>
      <w:r w:rsidR="00A43880" w:rsidRPr="00FF1DE5">
        <w:rPr>
          <w:rStyle w:val="Bodytext0"/>
          <w:rFonts w:asciiTheme="majorBidi" w:hAnsiTheme="majorBidi" w:cstheme="majorBidi"/>
          <w:sz w:val="24"/>
          <w:szCs w:val="24"/>
        </w:rPr>
        <w:t>We chose to administer a slow con</w:t>
      </w:r>
      <w:r w:rsidR="00A43880" w:rsidRPr="00FF1DE5">
        <w:rPr>
          <w:rStyle w:val="Bodytext0"/>
          <w:rFonts w:asciiTheme="majorBidi" w:hAnsiTheme="majorBidi" w:cstheme="majorBidi"/>
          <w:sz w:val="24"/>
          <w:szCs w:val="24"/>
        </w:rPr>
        <w:softHyphen/>
        <w:t>tinuous infusion to minimize measurement error</w:t>
      </w:r>
      <w:r w:rsidR="00A43880" w:rsidRPr="00FF1DE5">
        <w:rPr>
          <w:rFonts w:asciiTheme="majorBidi" w:hAnsiTheme="majorBidi" w:cstheme="majorBidi"/>
        </w:rPr>
        <w:t xml:space="preserve"> </w:t>
      </w:r>
      <w:r w:rsidRPr="00FF1DE5">
        <w:rPr>
          <w:rStyle w:val="Bodytext0"/>
          <w:rFonts w:asciiTheme="majorBidi" w:hAnsiTheme="majorBidi" w:cstheme="majorBidi"/>
          <w:sz w:val="24"/>
          <w:szCs w:val="24"/>
        </w:rPr>
        <w:t>because LOC wa</w:t>
      </w:r>
      <w:r w:rsidR="00A43880" w:rsidRPr="00FF1DE5">
        <w:rPr>
          <w:rStyle w:val="Bodytext0"/>
          <w:rFonts w:asciiTheme="majorBidi" w:hAnsiTheme="majorBidi" w:cstheme="majorBidi"/>
          <w:sz w:val="24"/>
          <w:szCs w:val="24"/>
        </w:rPr>
        <w:t>s assessed cl</w:t>
      </w:r>
      <w:r w:rsidRPr="00FF1DE5">
        <w:rPr>
          <w:rStyle w:val="Bodytext0"/>
          <w:rFonts w:asciiTheme="majorBidi" w:hAnsiTheme="majorBidi" w:cstheme="majorBidi"/>
          <w:sz w:val="24"/>
          <w:szCs w:val="24"/>
        </w:rPr>
        <w:t>inically at intervals of 15</w:t>
      </w:r>
      <w:r w:rsidR="00A43880" w:rsidRPr="00FF1DE5">
        <w:rPr>
          <w:rStyle w:val="Bodytext0"/>
          <w:rFonts w:asciiTheme="majorBidi" w:hAnsiTheme="majorBidi" w:cstheme="majorBidi"/>
          <w:sz w:val="24"/>
          <w:szCs w:val="24"/>
        </w:rPr>
        <w:t xml:space="preserve"> seconds.</w:t>
      </w:r>
    </w:p>
    <w:p w:rsidR="0019257B" w:rsidRPr="00FF1DE5" w:rsidRDefault="0047301D" w:rsidP="00132481">
      <w:pPr>
        <w:pStyle w:val="BodyTextIndent"/>
        <w:tabs>
          <w:tab w:val="left" w:pos="0"/>
        </w:tabs>
        <w:spacing w:line="480" w:lineRule="auto"/>
        <w:ind w:left="0"/>
        <w:jc w:val="both"/>
        <w:rPr>
          <w:rStyle w:val="Bodytext0"/>
          <w:rFonts w:asciiTheme="majorBidi" w:hAnsiTheme="majorBidi" w:cstheme="majorBidi"/>
          <w:sz w:val="24"/>
          <w:szCs w:val="24"/>
        </w:rPr>
      </w:pPr>
      <w:r w:rsidRPr="00FF1DE5">
        <w:rPr>
          <w:rStyle w:val="Bodytext0"/>
          <w:rFonts w:asciiTheme="majorBidi" w:hAnsiTheme="majorBidi" w:cstheme="majorBidi"/>
          <w:sz w:val="24"/>
          <w:szCs w:val="24"/>
        </w:rPr>
        <w:t xml:space="preserve">However, </w:t>
      </w:r>
      <w:r w:rsidRPr="00FF1DE5">
        <w:rPr>
          <w:rFonts w:asciiTheme="majorBidi" w:hAnsiTheme="majorBidi" w:cstheme="majorBidi"/>
          <w:lang w:val="en-IN"/>
        </w:rPr>
        <w:t xml:space="preserve">there were several limitations of this study. </w:t>
      </w:r>
      <w:r w:rsidR="0019257B" w:rsidRPr="00FF1DE5">
        <w:rPr>
          <w:rFonts w:asciiTheme="majorBidi" w:hAnsiTheme="majorBidi" w:cstheme="majorBidi"/>
        </w:rPr>
        <w:t xml:space="preserve">Anxiety measurement </w:t>
      </w:r>
      <w:r w:rsidR="0019257B" w:rsidRPr="00FF1DE5">
        <w:rPr>
          <w:rStyle w:val="Bodytext0"/>
          <w:rFonts w:asciiTheme="majorBidi" w:hAnsiTheme="majorBidi" w:cstheme="majorBidi"/>
          <w:sz w:val="24"/>
          <w:szCs w:val="24"/>
        </w:rPr>
        <w:t>was based on subjective scorings of anxiety rather than objective physical indicators. Hence, self reporting bias might present. But the STAI is the best scoring method available till now used in most of the related studies.</w:t>
      </w:r>
      <w:r w:rsidR="00132481" w:rsidRPr="00FF1DE5">
        <w:rPr>
          <w:rStyle w:val="Bodytext0"/>
          <w:rFonts w:asciiTheme="majorBidi" w:hAnsiTheme="majorBidi" w:cstheme="majorBidi"/>
          <w:sz w:val="24"/>
          <w:szCs w:val="24"/>
          <w:vertAlign w:val="superscript"/>
        </w:rPr>
        <w:t>5-7</w:t>
      </w:r>
      <w:proofErr w:type="gramStart"/>
      <w:r w:rsidR="00132481" w:rsidRPr="00FF1DE5">
        <w:rPr>
          <w:rStyle w:val="Bodytext0"/>
          <w:rFonts w:asciiTheme="majorBidi" w:hAnsiTheme="majorBidi" w:cstheme="majorBidi"/>
          <w:sz w:val="24"/>
          <w:szCs w:val="24"/>
          <w:vertAlign w:val="superscript"/>
        </w:rPr>
        <w:t>,10</w:t>
      </w:r>
      <w:proofErr w:type="gramEnd"/>
      <w:r w:rsidR="0019257B" w:rsidRPr="00FF1DE5">
        <w:rPr>
          <w:rStyle w:val="Bodytext0"/>
          <w:rFonts w:asciiTheme="majorBidi" w:hAnsiTheme="majorBidi" w:cstheme="majorBidi"/>
          <w:sz w:val="24"/>
          <w:szCs w:val="24"/>
          <w:vertAlign w:val="superscript"/>
        </w:rPr>
        <w:t xml:space="preserve"> </w:t>
      </w:r>
      <w:r w:rsidR="0019257B" w:rsidRPr="00FF1DE5">
        <w:rPr>
          <w:rStyle w:val="Bodytext0"/>
          <w:rFonts w:asciiTheme="majorBidi" w:hAnsiTheme="majorBidi" w:cstheme="majorBidi"/>
          <w:sz w:val="24"/>
          <w:szCs w:val="24"/>
        </w:rPr>
        <w:t xml:space="preserve">It </w:t>
      </w:r>
      <w:r w:rsidR="0019257B" w:rsidRPr="00FF1DE5">
        <w:rPr>
          <w:rStyle w:val="Bodytext0"/>
          <w:rFonts w:asciiTheme="majorBidi" w:hAnsiTheme="majorBidi" w:cstheme="majorBidi"/>
          <w:sz w:val="24"/>
          <w:szCs w:val="24"/>
          <w:vertAlign w:val="superscript"/>
        </w:rPr>
        <w:t xml:space="preserve"> </w:t>
      </w:r>
      <w:r w:rsidR="0019257B" w:rsidRPr="00FF1DE5">
        <w:rPr>
          <w:rStyle w:val="Bodytext0"/>
          <w:rFonts w:asciiTheme="majorBidi" w:hAnsiTheme="majorBidi" w:cstheme="majorBidi"/>
          <w:sz w:val="24"/>
          <w:szCs w:val="24"/>
        </w:rPr>
        <w:t xml:space="preserve">would have been more accurate if we had used </w:t>
      </w:r>
      <w:proofErr w:type="spellStart"/>
      <w:r w:rsidR="0019257B" w:rsidRPr="00FF1DE5">
        <w:rPr>
          <w:rStyle w:val="Bodytext0"/>
          <w:rFonts w:asciiTheme="majorBidi" w:hAnsiTheme="majorBidi" w:cstheme="majorBidi"/>
          <w:sz w:val="24"/>
          <w:szCs w:val="24"/>
        </w:rPr>
        <w:t>propofol</w:t>
      </w:r>
      <w:proofErr w:type="spellEnd"/>
      <w:r w:rsidR="0019257B" w:rsidRPr="00FF1DE5">
        <w:rPr>
          <w:rStyle w:val="Bodytext0"/>
          <w:rFonts w:asciiTheme="majorBidi" w:hAnsiTheme="majorBidi" w:cstheme="majorBidi"/>
          <w:sz w:val="24"/>
          <w:szCs w:val="24"/>
        </w:rPr>
        <w:t xml:space="preserve"> arterial concentrations and cardiac output measurements. Use of BIS or any other EEG (electroencephalogram) analog/ depth indicators would have been helpful in confirming the level of depth of anesthesia. This was merely a correlation study and from the present data we </w:t>
      </w:r>
      <w:proofErr w:type="spellStart"/>
      <w:r w:rsidR="0019257B" w:rsidRPr="00FF1DE5">
        <w:rPr>
          <w:rStyle w:val="Bodytext0"/>
          <w:rFonts w:asciiTheme="majorBidi" w:hAnsiTheme="majorBidi" w:cstheme="majorBidi"/>
          <w:sz w:val="24"/>
          <w:szCs w:val="24"/>
        </w:rPr>
        <w:t>can not</w:t>
      </w:r>
      <w:proofErr w:type="spellEnd"/>
      <w:r w:rsidR="0019257B" w:rsidRPr="00FF1DE5">
        <w:rPr>
          <w:rStyle w:val="Bodytext0"/>
          <w:rFonts w:asciiTheme="majorBidi" w:hAnsiTheme="majorBidi" w:cstheme="majorBidi"/>
          <w:sz w:val="24"/>
          <w:szCs w:val="24"/>
        </w:rPr>
        <w:t xml:space="preserve"> </w:t>
      </w:r>
      <w:r w:rsidR="0019257B" w:rsidRPr="00FF1DE5">
        <w:rPr>
          <w:rStyle w:val="Bodytext0"/>
          <w:rFonts w:asciiTheme="majorBidi" w:hAnsiTheme="majorBidi" w:cstheme="majorBidi"/>
          <w:sz w:val="24"/>
          <w:szCs w:val="24"/>
        </w:rPr>
        <w:lastRenderedPageBreak/>
        <w:t xml:space="preserve">conclude that increase in </w:t>
      </w:r>
      <w:proofErr w:type="spellStart"/>
      <w:r w:rsidR="0019257B" w:rsidRPr="00FF1DE5">
        <w:rPr>
          <w:rStyle w:val="Bodytext0"/>
          <w:rFonts w:asciiTheme="majorBidi" w:hAnsiTheme="majorBidi" w:cstheme="majorBidi"/>
          <w:sz w:val="24"/>
          <w:szCs w:val="24"/>
        </w:rPr>
        <w:t>propofol</w:t>
      </w:r>
      <w:proofErr w:type="spellEnd"/>
      <w:r w:rsidR="0019257B" w:rsidRPr="00FF1DE5">
        <w:rPr>
          <w:rStyle w:val="Bodytext0"/>
          <w:rFonts w:asciiTheme="majorBidi" w:hAnsiTheme="majorBidi" w:cstheme="majorBidi"/>
          <w:sz w:val="24"/>
          <w:szCs w:val="24"/>
        </w:rPr>
        <w:t xml:space="preserve"> requirement is related to </w:t>
      </w:r>
      <w:proofErr w:type="spellStart"/>
      <w:r w:rsidR="0019257B" w:rsidRPr="00FF1DE5">
        <w:rPr>
          <w:rStyle w:val="Bodytext0"/>
          <w:rFonts w:asciiTheme="majorBidi" w:hAnsiTheme="majorBidi" w:cstheme="majorBidi"/>
          <w:sz w:val="24"/>
          <w:szCs w:val="24"/>
        </w:rPr>
        <w:t>pharmacodynamic</w:t>
      </w:r>
      <w:proofErr w:type="spellEnd"/>
      <w:r w:rsidR="0019257B" w:rsidRPr="00FF1DE5">
        <w:rPr>
          <w:rStyle w:val="Bodytext0"/>
          <w:rFonts w:asciiTheme="majorBidi" w:hAnsiTheme="majorBidi" w:cstheme="majorBidi"/>
          <w:sz w:val="24"/>
          <w:szCs w:val="24"/>
        </w:rPr>
        <w:t xml:space="preserve"> or pharmacokinetic changes. </w:t>
      </w:r>
      <w:r w:rsidR="00F405A4">
        <w:rPr>
          <w:rStyle w:val="Bodytext0"/>
          <w:rFonts w:asciiTheme="majorBidi" w:hAnsiTheme="majorBidi" w:cstheme="majorBidi"/>
          <w:sz w:val="24"/>
          <w:szCs w:val="24"/>
        </w:rPr>
        <w:t xml:space="preserve">Another aspect was the inclusion of nearly 70% female subjects as study population. There are </w:t>
      </w:r>
      <w:r w:rsidR="00502858">
        <w:rPr>
          <w:rStyle w:val="Bodytext0"/>
          <w:rFonts w:asciiTheme="majorBidi" w:hAnsiTheme="majorBidi" w:cstheme="majorBidi"/>
          <w:sz w:val="24"/>
          <w:szCs w:val="24"/>
        </w:rPr>
        <w:t>studies both supporting and opposing female preponderance of pre-operative anxiety.</w:t>
      </w:r>
      <w:r w:rsidR="00502858">
        <w:rPr>
          <w:rStyle w:val="Bodytext0"/>
          <w:rFonts w:asciiTheme="majorBidi" w:hAnsiTheme="majorBidi" w:cstheme="majorBidi"/>
          <w:sz w:val="24"/>
          <w:szCs w:val="24"/>
          <w:vertAlign w:val="superscript"/>
        </w:rPr>
        <w:t>22</w:t>
      </w:r>
      <w:r w:rsidR="00502858">
        <w:rPr>
          <w:rStyle w:val="Bodytext0"/>
          <w:rFonts w:asciiTheme="majorBidi" w:hAnsiTheme="majorBidi" w:cstheme="majorBidi"/>
          <w:sz w:val="24"/>
          <w:szCs w:val="24"/>
        </w:rPr>
        <w:t xml:space="preserve"> </w:t>
      </w:r>
      <w:proofErr w:type="gramStart"/>
      <w:r w:rsidR="00EB24E9" w:rsidRPr="00FF1DE5">
        <w:rPr>
          <w:rStyle w:val="Bodytext0"/>
          <w:rFonts w:asciiTheme="majorBidi" w:hAnsiTheme="majorBidi" w:cstheme="majorBidi"/>
          <w:sz w:val="24"/>
          <w:szCs w:val="24"/>
        </w:rPr>
        <w:t>Among</w:t>
      </w:r>
      <w:proofErr w:type="gramEnd"/>
      <w:r w:rsidR="00EB24E9" w:rsidRPr="00FF1DE5">
        <w:rPr>
          <w:rStyle w:val="Bodytext0"/>
          <w:rFonts w:asciiTheme="majorBidi" w:hAnsiTheme="majorBidi" w:cstheme="majorBidi"/>
          <w:sz w:val="24"/>
          <w:szCs w:val="24"/>
        </w:rPr>
        <w:t xml:space="preserve"> other limitations were </w:t>
      </w:r>
      <w:r w:rsidR="00EB24E9" w:rsidRPr="00FF1DE5">
        <w:rPr>
          <w:rFonts w:asciiTheme="majorBidi" w:hAnsiTheme="majorBidi" w:cstheme="majorBidi"/>
          <w:lang w:val="en-IN"/>
        </w:rPr>
        <w:t>small sample size, single-</w:t>
      </w:r>
      <w:proofErr w:type="spellStart"/>
      <w:r w:rsidR="00EB24E9" w:rsidRPr="00FF1DE5">
        <w:rPr>
          <w:rFonts w:asciiTheme="majorBidi" w:hAnsiTheme="majorBidi" w:cstheme="majorBidi"/>
          <w:lang w:val="en-IN"/>
        </w:rPr>
        <w:t>center</w:t>
      </w:r>
      <w:proofErr w:type="spellEnd"/>
      <w:r w:rsidR="00EB24E9" w:rsidRPr="00FF1DE5">
        <w:rPr>
          <w:rFonts w:asciiTheme="majorBidi" w:hAnsiTheme="majorBidi" w:cstheme="majorBidi"/>
          <w:lang w:val="en-IN"/>
        </w:rPr>
        <w:t xml:space="preserve"> design and selected study population (</w:t>
      </w:r>
      <w:proofErr w:type="spellStart"/>
      <w:r w:rsidR="00EB24E9" w:rsidRPr="00FF1DE5">
        <w:rPr>
          <w:rFonts w:asciiTheme="majorBidi" w:hAnsiTheme="majorBidi" w:cstheme="majorBidi"/>
          <w:lang w:val="en-IN"/>
        </w:rPr>
        <w:t>pediatric</w:t>
      </w:r>
      <w:proofErr w:type="spellEnd"/>
      <w:r w:rsidR="00EB24E9" w:rsidRPr="00FF1DE5">
        <w:rPr>
          <w:rFonts w:asciiTheme="majorBidi" w:hAnsiTheme="majorBidi" w:cstheme="majorBidi"/>
          <w:lang w:val="en-IN"/>
        </w:rPr>
        <w:t>, elderly and ASA III-IV patients were excluded).</w:t>
      </w:r>
    </w:p>
    <w:p w:rsidR="00DA38E5" w:rsidRPr="00B9619A" w:rsidRDefault="00DA38E5" w:rsidP="00DA38E5">
      <w:pPr>
        <w:spacing w:line="480" w:lineRule="auto"/>
        <w:jc w:val="both"/>
        <w:rPr>
          <w:rFonts w:asciiTheme="majorBidi" w:hAnsiTheme="majorBidi" w:cstheme="majorBidi"/>
        </w:rPr>
      </w:pPr>
    </w:p>
    <w:p w:rsidR="00D61374" w:rsidRPr="00FF1DE5" w:rsidRDefault="00296E7A" w:rsidP="006370A8">
      <w:pPr>
        <w:autoSpaceDE w:val="0"/>
        <w:autoSpaceDN w:val="0"/>
        <w:adjustRightInd w:val="0"/>
        <w:spacing w:before="240" w:after="0" w:line="480" w:lineRule="auto"/>
        <w:jc w:val="both"/>
        <w:rPr>
          <w:rFonts w:asciiTheme="majorBidi" w:hAnsiTheme="majorBidi" w:cstheme="majorBidi"/>
          <w:bCs/>
          <w:i/>
          <w:iCs/>
          <w:sz w:val="24"/>
          <w:szCs w:val="24"/>
        </w:rPr>
      </w:pPr>
      <w:r w:rsidRPr="00FF1DE5">
        <w:rPr>
          <w:rFonts w:asciiTheme="majorBidi" w:hAnsiTheme="majorBidi" w:cstheme="majorBidi"/>
          <w:bCs/>
          <w:i/>
          <w:iCs/>
          <w:sz w:val="24"/>
          <w:szCs w:val="24"/>
        </w:rPr>
        <w:t>CONCLUS</w:t>
      </w:r>
      <w:r w:rsidR="00D61374" w:rsidRPr="00FF1DE5">
        <w:rPr>
          <w:rFonts w:asciiTheme="majorBidi" w:hAnsiTheme="majorBidi" w:cstheme="majorBidi"/>
          <w:bCs/>
          <w:i/>
          <w:iCs/>
          <w:sz w:val="24"/>
          <w:szCs w:val="24"/>
        </w:rPr>
        <w:t>ION</w:t>
      </w:r>
    </w:p>
    <w:p w:rsidR="00EB24E9" w:rsidRPr="00FF1DE5" w:rsidRDefault="00EB24E9" w:rsidP="00EB24E9">
      <w:pPr>
        <w:pStyle w:val="BodyTextIndent"/>
        <w:tabs>
          <w:tab w:val="left" w:pos="0"/>
        </w:tabs>
        <w:spacing w:line="480" w:lineRule="auto"/>
        <w:ind w:left="0"/>
        <w:jc w:val="both"/>
        <w:rPr>
          <w:rFonts w:asciiTheme="majorBidi" w:hAnsiTheme="majorBidi" w:cstheme="majorBidi"/>
        </w:rPr>
      </w:pPr>
      <w:r w:rsidRPr="00FF1DE5">
        <w:rPr>
          <w:rFonts w:asciiTheme="majorBidi" w:hAnsiTheme="majorBidi" w:cstheme="majorBidi"/>
        </w:rPr>
        <w:t xml:space="preserve">Our present study showed that pre-anesthetic trait anxiety and heart rate have direct effect on dose of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requirement for induction, while the state anxiety in the operating room by acting through heart rate might indirectly influence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requirement for induction. Hence pre-operative anxiety should be considered and the dose of </w:t>
      </w:r>
      <w:proofErr w:type="spellStart"/>
      <w:r w:rsidRPr="00FF1DE5">
        <w:rPr>
          <w:rFonts w:asciiTheme="majorBidi" w:hAnsiTheme="majorBidi" w:cstheme="majorBidi"/>
        </w:rPr>
        <w:t>propofol</w:t>
      </w:r>
      <w:proofErr w:type="spellEnd"/>
      <w:r w:rsidRPr="00FF1DE5">
        <w:rPr>
          <w:rFonts w:asciiTheme="majorBidi" w:hAnsiTheme="majorBidi" w:cstheme="majorBidi"/>
        </w:rPr>
        <w:t xml:space="preserve"> should be titrated for induction accordingly. </w:t>
      </w:r>
      <w:r w:rsidR="009442E7" w:rsidRPr="00FF1DE5">
        <w:rPr>
          <w:rFonts w:asciiTheme="majorBidi" w:hAnsiTheme="majorBidi" w:cstheme="majorBidi"/>
        </w:rPr>
        <w:t>Further, larger trials with more sophisticated monitoring are needed to confirm our findings.</w:t>
      </w:r>
    </w:p>
    <w:p w:rsidR="00B9619A" w:rsidRPr="006370A8" w:rsidRDefault="00B9619A" w:rsidP="00B9619A">
      <w:pPr>
        <w:spacing w:before="240" w:line="480" w:lineRule="auto"/>
        <w:jc w:val="both"/>
        <w:rPr>
          <w:rFonts w:asciiTheme="majorBidi" w:hAnsiTheme="majorBidi" w:cstheme="majorBidi"/>
        </w:rPr>
      </w:pPr>
    </w:p>
    <w:p w:rsidR="0066284D" w:rsidRPr="00FF1DE5" w:rsidRDefault="0066284D" w:rsidP="006370A8">
      <w:pPr>
        <w:spacing w:before="240" w:line="480" w:lineRule="auto"/>
        <w:jc w:val="both"/>
        <w:rPr>
          <w:rFonts w:asciiTheme="majorBidi" w:hAnsiTheme="majorBidi" w:cstheme="majorBidi"/>
          <w:i/>
          <w:iCs/>
          <w:sz w:val="24"/>
          <w:szCs w:val="24"/>
        </w:rPr>
      </w:pPr>
      <w:r w:rsidRPr="00FF1DE5">
        <w:rPr>
          <w:rFonts w:asciiTheme="majorBidi" w:hAnsiTheme="majorBidi" w:cstheme="majorBidi"/>
          <w:i/>
          <w:iCs/>
          <w:sz w:val="24"/>
          <w:szCs w:val="24"/>
        </w:rPr>
        <w:t>ACKNOWLEDGEMENTS</w:t>
      </w:r>
    </w:p>
    <w:p w:rsidR="0046081D" w:rsidRPr="00FF1DE5" w:rsidRDefault="0066284D" w:rsidP="00E66254">
      <w:pPr>
        <w:spacing w:before="240" w:line="480" w:lineRule="auto"/>
        <w:jc w:val="both"/>
        <w:rPr>
          <w:rFonts w:asciiTheme="majorBidi" w:hAnsiTheme="majorBidi" w:cstheme="majorBidi"/>
          <w:sz w:val="24"/>
          <w:szCs w:val="24"/>
        </w:rPr>
      </w:pPr>
      <w:r w:rsidRPr="00FF1DE5">
        <w:rPr>
          <w:rFonts w:asciiTheme="majorBidi" w:hAnsiTheme="majorBidi" w:cstheme="majorBidi"/>
          <w:sz w:val="24"/>
          <w:szCs w:val="24"/>
        </w:rPr>
        <w:t xml:space="preserve">The authors like to acknowledge </w:t>
      </w:r>
      <w:proofErr w:type="spellStart"/>
      <w:r w:rsidRPr="00FF1DE5">
        <w:rPr>
          <w:rFonts w:asciiTheme="majorBidi" w:hAnsiTheme="majorBidi" w:cstheme="majorBidi"/>
          <w:sz w:val="24"/>
          <w:szCs w:val="24"/>
        </w:rPr>
        <w:t>Nilratan</w:t>
      </w:r>
      <w:proofErr w:type="spellEnd"/>
      <w:r w:rsidRPr="00FF1DE5">
        <w:rPr>
          <w:rFonts w:asciiTheme="majorBidi" w:hAnsiTheme="majorBidi" w:cstheme="majorBidi"/>
          <w:sz w:val="24"/>
          <w:szCs w:val="24"/>
        </w:rPr>
        <w:t xml:space="preserve"> </w:t>
      </w:r>
      <w:proofErr w:type="spellStart"/>
      <w:r w:rsidRPr="00FF1DE5">
        <w:rPr>
          <w:rFonts w:asciiTheme="majorBidi" w:hAnsiTheme="majorBidi" w:cstheme="majorBidi"/>
          <w:sz w:val="24"/>
          <w:szCs w:val="24"/>
        </w:rPr>
        <w:t>Sircar</w:t>
      </w:r>
      <w:proofErr w:type="spellEnd"/>
      <w:r w:rsidRPr="00FF1DE5">
        <w:rPr>
          <w:rFonts w:asciiTheme="majorBidi" w:hAnsiTheme="majorBidi" w:cstheme="majorBidi"/>
          <w:sz w:val="24"/>
          <w:szCs w:val="24"/>
        </w:rPr>
        <w:t xml:space="preserve"> Medical College and Hospital, Kolkata, India for providing necessary support during this research work.</w:t>
      </w:r>
      <w:r w:rsidR="001A1BE8" w:rsidRPr="00FF1DE5">
        <w:rPr>
          <w:rFonts w:asciiTheme="majorBidi" w:hAnsiTheme="majorBidi" w:cstheme="majorBidi"/>
          <w:sz w:val="24"/>
          <w:szCs w:val="24"/>
        </w:rPr>
        <w:t xml:space="preserve"> None of the authors </w:t>
      </w:r>
      <w:r w:rsidR="00E66254" w:rsidRPr="00FF1DE5">
        <w:rPr>
          <w:rFonts w:asciiTheme="majorBidi" w:hAnsiTheme="majorBidi" w:cstheme="majorBidi"/>
          <w:sz w:val="24"/>
          <w:szCs w:val="24"/>
        </w:rPr>
        <w:t>have</w:t>
      </w:r>
      <w:r w:rsidR="001A1BE8" w:rsidRPr="00FF1DE5">
        <w:rPr>
          <w:rFonts w:asciiTheme="majorBidi" w:hAnsiTheme="majorBidi" w:cstheme="majorBidi"/>
          <w:sz w:val="24"/>
          <w:szCs w:val="24"/>
        </w:rPr>
        <w:t xml:space="preserve"> any conflict of interest. </w:t>
      </w:r>
    </w:p>
    <w:p w:rsidR="00B72110" w:rsidRDefault="00B72110" w:rsidP="00E66254">
      <w:pPr>
        <w:spacing w:before="240" w:line="480" w:lineRule="auto"/>
        <w:jc w:val="both"/>
        <w:rPr>
          <w:rFonts w:asciiTheme="majorBidi" w:hAnsiTheme="majorBidi" w:cstheme="majorBidi"/>
        </w:rPr>
      </w:pPr>
    </w:p>
    <w:p w:rsidR="00171226" w:rsidRDefault="00171226" w:rsidP="00E66254">
      <w:pPr>
        <w:spacing w:before="240" w:line="480" w:lineRule="auto"/>
        <w:jc w:val="both"/>
        <w:rPr>
          <w:rFonts w:asciiTheme="majorBidi" w:hAnsiTheme="majorBidi" w:cstheme="majorBidi"/>
        </w:rPr>
      </w:pPr>
    </w:p>
    <w:p w:rsidR="00FF1DE5" w:rsidRDefault="00FF1DE5" w:rsidP="006370A8">
      <w:pPr>
        <w:spacing w:before="240" w:line="480" w:lineRule="auto"/>
        <w:jc w:val="both"/>
        <w:rPr>
          <w:rFonts w:asciiTheme="majorBidi" w:hAnsiTheme="majorBidi" w:cstheme="majorBidi"/>
          <w:bCs/>
          <w:i/>
          <w:iCs/>
        </w:rPr>
      </w:pPr>
    </w:p>
    <w:p w:rsidR="00D61374" w:rsidRPr="00FF1DE5" w:rsidRDefault="002C089E" w:rsidP="006370A8">
      <w:pPr>
        <w:spacing w:before="240" w:line="480" w:lineRule="auto"/>
        <w:jc w:val="both"/>
        <w:rPr>
          <w:rFonts w:asciiTheme="majorBidi" w:hAnsiTheme="majorBidi" w:cstheme="majorBidi"/>
          <w:bCs/>
          <w:i/>
          <w:iCs/>
          <w:sz w:val="24"/>
          <w:szCs w:val="24"/>
        </w:rPr>
      </w:pPr>
      <w:r w:rsidRPr="00FF1DE5">
        <w:rPr>
          <w:rFonts w:asciiTheme="majorBidi" w:hAnsiTheme="majorBidi" w:cstheme="majorBidi"/>
          <w:bCs/>
          <w:i/>
          <w:iCs/>
          <w:sz w:val="24"/>
          <w:szCs w:val="24"/>
        </w:rPr>
        <w:lastRenderedPageBreak/>
        <w:t>REFERENCES</w:t>
      </w:r>
      <w:r w:rsidR="00DA103A" w:rsidRPr="00FF1DE5">
        <w:rPr>
          <w:rFonts w:asciiTheme="majorBidi" w:hAnsiTheme="majorBidi" w:cstheme="majorBidi"/>
          <w:bCs/>
          <w:i/>
          <w:iCs/>
          <w:sz w:val="24"/>
          <w:szCs w:val="24"/>
        </w:rPr>
        <w:t xml:space="preserve">  </w:t>
      </w:r>
    </w:p>
    <w:p w:rsidR="00132481" w:rsidRPr="00FF1DE5" w:rsidRDefault="005B2B7F" w:rsidP="00132481">
      <w:pPr>
        <w:pStyle w:val="ListParagraph"/>
        <w:numPr>
          <w:ilvl w:val="0"/>
          <w:numId w:val="11"/>
        </w:numPr>
        <w:spacing w:line="480" w:lineRule="auto"/>
        <w:jc w:val="both"/>
        <w:rPr>
          <w:rStyle w:val="Bodytext4"/>
          <w:rFonts w:asciiTheme="majorBidi" w:eastAsiaTheme="minorHAnsi" w:hAnsiTheme="majorBidi" w:cstheme="majorBidi"/>
          <w:sz w:val="24"/>
          <w:szCs w:val="24"/>
        </w:rPr>
      </w:pPr>
      <w:r w:rsidRPr="00FF1DE5">
        <w:rPr>
          <w:rStyle w:val="Bodytext4"/>
          <w:rFonts w:asciiTheme="majorBidi" w:hAnsiTheme="majorBidi" w:cstheme="majorBidi"/>
          <w:sz w:val="24"/>
          <w:szCs w:val="24"/>
        </w:rPr>
        <w:t>Ramsay MAE.</w:t>
      </w:r>
      <w:r w:rsidR="00132481" w:rsidRPr="00FF1DE5">
        <w:rPr>
          <w:rStyle w:val="Bodytext4"/>
          <w:rFonts w:asciiTheme="majorBidi" w:hAnsiTheme="majorBidi" w:cstheme="majorBidi"/>
          <w:sz w:val="24"/>
          <w:szCs w:val="24"/>
        </w:rPr>
        <w:t xml:space="preserve"> A survey of pre-op</w:t>
      </w:r>
      <w:r w:rsidRPr="00FF1DE5">
        <w:rPr>
          <w:rStyle w:val="Bodytext4"/>
          <w:rFonts w:asciiTheme="majorBidi" w:hAnsiTheme="majorBidi" w:cstheme="majorBidi"/>
          <w:sz w:val="24"/>
          <w:szCs w:val="24"/>
        </w:rPr>
        <w:t xml:space="preserve">erative fear. </w:t>
      </w:r>
      <w:proofErr w:type="spellStart"/>
      <w:r w:rsidRPr="00FF1DE5">
        <w:rPr>
          <w:rStyle w:val="Bodytext4"/>
          <w:rFonts w:asciiTheme="majorBidi" w:hAnsiTheme="majorBidi" w:cstheme="majorBidi"/>
          <w:sz w:val="24"/>
          <w:szCs w:val="24"/>
        </w:rPr>
        <w:t>Anaesthesia</w:t>
      </w:r>
      <w:proofErr w:type="spellEnd"/>
      <w:r w:rsidRPr="00FF1DE5">
        <w:rPr>
          <w:rStyle w:val="Bodytext4"/>
          <w:rFonts w:asciiTheme="majorBidi" w:hAnsiTheme="majorBidi" w:cstheme="majorBidi"/>
          <w:sz w:val="24"/>
          <w:szCs w:val="24"/>
        </w:rPr>
        <w:t xml:space="preserve"> 1972;</w:t>
      </w:r>
      <w:r w:rsidR="00F440F7" w:rsidRPr="00FF1DE5">
        <w:rPr>
          <w:rStyle w:val="Bodytext4"/>
          <w:rFonts w:asciiTheme="majorBidi" w:hAnsiTheme="majorBidi" w:cstheme="majorBidi"/>
          <w:sz w:val="24"/>
          <w:szCs w:val="24"/>
        </w:rPr>
        <w:t xml:space="preserve"> </w:t>
      </w:r>
      <w:r w:rsidR="00132481" w:rsidRPr="00FF1DE5">
        <w:rPr>
          <w:rStyle w:val="Bodytext4"/>
          <w:rFonts w:asciiTheme="majorBidi" w:hAnsiTheme="majorBidi" w:cstheme="majorBidi"/>
          <w:sz w:val="24"/>
          <w:szCs w:val="24"/>
        </w:rPr>
        <w:t>27</w:t>
      </w:r>
      <w:r w:rsidRPr="00FF1DE5">
        <w:rPr>
          <w:rStyle w:val="Bodytext4"/>
          <w:rFonts w:asciiTheme="majorBidi" w:hAnsiTheme="majorBidi" w:cstheme="majorBidi"/>
          <w:sz w:val="24"/>
          <w:szCs w:val="24"/>
        </w:rPr>
        <w:t>(4)</w:t>
      </w:r>
      <w:r w:rsidR="00132481" w:rsidRPr="00FF1DE5">
        <w:rPr>
          <w:rStyle w:val="Bodytext4"/>
          <w:rFonts w:asciiTheme="majorBidi" w:hAnsiTheme="majorBidi" w:cstheme="majorBidi"/>
          <w:sz w:val="24"/>
          <w:szCs w:val="24"/>
        </w:rPr>
        <w:t>:396-402</w:t>
      </w:r>
      <w:r w:rsidRPr="00FF1DE5">
        <w:rPr>
          <w:rStyle w:val="Bodytext4"/>
          <w:rFonts w:asciiTheme="majorBidi" w:hAnsiTheme="majorBidi" w:cstheme="majorBidi"/>
          <w:sz w:val="24"/>
          <w:szCs w:val="24"/>
        </w:rPr>
        <w:t>.</w:t>
      </w:r>
    </w:p>
    <w:p w:rsidR="00132481" w:rsidRPr="00FF1DE5" w:rsidRDefault="005B2B7F" w:rsidP="00132481">
      <w:pPr>
        <w:numPr>
          <w:ilvl w:val="0"/>
          <w:numId w:val="11"/>
        </w:numPr>
        <w:tabs>
          <w:tab w:val="left" w:pos="212"/>
        </w:tabs>
        <w:spacing w:after="0" w:line="480" w:lineRule="auto"/>
        <w:ind w:right="20"/>
        <w:jc w:val="both"/>
        <w:rPr>
          <w:rFonts w:asciiTheme="majorBidi" w:hAnsiTheme="majorBidi" w:cstheme="majorBidi"/>
          <w:sz w:val="24"/>
          <w:szCs w:val="24"/>
        </w:rPr>
      </w:pPr>
      <w:r w:rsidRPr="00FF1DE5">
        <w:rPr>
          <w:rStyle w:val="Bodytext4"/>
          <w:rFonts w:asciiTheme="majorBidi" w:hAnsiTheme="majorBidi" w:cstheme="majorBidi"/>
          <w:sz w:val="24"/>
          <w:szCs w:val="24"/>
        </w:rPr>
        <w:t>Johnston M.</w:t>
      </w:r>
      <w:r w:rsidR="00132481" w:rsidRPr="00FF1DE5">
        <w:rPr>
          <w:rStyle w:val="Bodytext4"/>
          <w:rFonts w:asciiTheme="majorBidi" w:hAnsiTheme="majorBidi" w:cstheme="majorBidi"/>
          <w:sz w:val="24"/>
          <w:szCs w:val="24"/>
        </w:rPr>
        <w:t xml:space="preserve"> Pre-operative emotional states and post-operative recovery. Adv </w:t>
      </w:r>
      <w:proofErr w:type="spellStart"/>
      <w:r w:rsidR="00132481" w:rsidRPr="00FF1DE5">
        <w:rPr>
          <w:rStyle w:val="Bodytext4"/>
          <w:rFonts w:asciiTheme="majorBidi" w:hAnsiTheme="majorBidi" w:cstheme="majorBidi"/>
          <w:sz w:val="24"/>
          <w:szCs w:val="24"/>
        </w:rPr>
        <w:t>Psychosom</w:t>
      </w:r>
      <w:proofErr w:type="spellEnd"/>
      <w:r w:rsidR="00132481" w:rsidRPr="00FF1DE5">
        <w:rPr>
          <w:rStyle w:val="Bodytext4"/>
          <w:rFonts w:asciiTheme="majorBidi" w:hAnsiTheme="majorBidi" w:cstheme="majorBidi"/>
          <w:sz w:val="24"/>
          <w:szCs w:val="24"/>
        </w:rPr>
        <w:t xml:space="preserve"> Med 1986;</w:t>
      </w:r>
      <w:r w:rsidR="00F440F7" w:rsidRPr="00FF1DE5">
        <w:rPr>
          <w:rStyle w:val="Bodytext4"/>
          <w:rFonts w:asciiTheme="majorBidi" w:hAnsiTheme="majorBidi" w:cstheme="majorBidi"/>
          <w:sz w:val="24"/>
          <w:szCs w:val="24"/>
        </w:rPr>
        <w:t xml:space="preserve"> </w:t>
      </w:r>
      <w:r w:rsidR="00132481" w:rsidRPr="00FF1DE5">
        <w:rPr>
          <w:rStyle w:val="Bodytext4"/>
          <w:rFonts w:asciiTheme="majorBidi" w:hAnsiTheme="majorBidi" w:cstheme="majorBidi"/>
          <w:sz w:val="24"/>
          <w:szCs w:val="24"/>
        </w:rPr>
        <w:t>15:1-22.</w:t>
      </w:r>
    </w:p>
    <w:p w:rsidR="00132481" w:rsidRPr="00FF1DE5" w:rsidRDefault="000958E8" w:rsidP="00132481">
      <w:pPr>
        <w:numPr>
          <w:ilvl w:val="0"/>
          <w:numId w:val="11"/>
        </w:numPr>
        <w:tabs>
          <w:tab w:val="left" w:pos="232"/>
        </w:tabs>
        <w:spacing w:after="0" w:line="480" w:lineRule="auto"/>
        <w:ind w:right="20"/>
        <w:jc w:val="both"/>
        <w:rPr>
          <w:rFonts w:asciiTheme="majorBidi" w:hAnsiTheme="majorBidi" w:cstheme="majorBidi"/>
          <w:sz w:val="24"/>
          <w:szCs w:val="24"/>
        </w:rPr>
      </w:pPr>
      <w:r w:rsidRPr="00FF1DE5">
        <w:rPr>
          <w:rStyle w:val="Bodytext4"/>
          <w:rFonts w:asciiTheme="majorBidi" w:hAnsiTheme="majorBidi" w:cstheme="majorBidi"/>
          <w:sz w:val="24"/>
          <w:szCs w:val="24"/>
        </w:rPr>
        <w:t>Wallace LM.</w:t>
      </w:r>
      <w:r w:rsidR="00132481" w:rsidRPr="00FF1DE5">
        <w:rPr>
          <w:rStyle w:val="Bodytext4"/>
          <w:rFonts w:asciiTheme="majorBidi" w:hAnsiTheme="majorBidi" w:cstheme="majorBidi"/>
          <w:sz w:val="24"/>
          <w:szCs w:val="24"/>
        </w:rPr>
        <w:t xml:space="preserve"> Trait anxiety as a predictor of adjustment to and recovery from surgery. Br J </w:t>
      </w:r>
      <w:proofErr w:type="spellStart"/>
      <w:r w:rsidR="00132481" w:rsidRPr="00FF1DE5">
        <w:rPr>
          <w:rStyle w:val="Bodytext4"/>
          <w:rFonts w:asciiTheme="majorBidi" w:hAnsiTheme="majorBidi" w:cstheme="majorBidi"/>
          <w:sz w:val="24"/>
          <w:szCs w:val="24"/>
        </w:rPr>
        <w:t>Clin</w:t>
      </w:r>
      <w:proofErr w:type="spellEnd"/>
      <w:r w:rsidR="00132481" w:rsidRPr="00FF1DE5">
        <w:rPr>
          <w:rStyle w:val="Bodytext4"/>
          <w:rFonts w:asciiTheme="majorBidi" w:hAnsiTheme="majorBidi" w:cstheme="majorBidi"/>
          <w:sz w:val="24"/>
          <w:szCs w:val="24"/>
        </w:rPr>
        <w:t xml:space="preserve"> </w:t>
      </w:r>
      <w:proofErr w:type="spellStart"/>
      <w:r w:rsidR="00132481" w:rsidRPr="00FF1DE5">
        <w:rPr>
          <w:rStyle w:val="Bodytext4"/>
          <w:rFonts w:asciiTheme="majorBidi" w:hAnsiTheme="majorBidi" w:cstheme="majorBidi"/>
          <w:sz w:val="24"/>
          <w:szCs w:val="24"/>
        </w:rPr>
        <w:t>Psychol</w:t>
      </w:r>
      <w:proofErr w:type="spellEnd"/>
      <w:r w:rsidR="00132481" w:rsidRPr="00FF1DE5">
        <w:rPr>
          <w:rStyle w:val="Bodytext4"/>
          <w:rFonts w:asciiTheme="majorBidi" w:hAnsiTheme="majorBidi" w:cstheme="majorBidi"/>
          <w:sz w:val="24"/>
          <w:szCs w:val="24"/>
        </w:rPr>
        <w:t xml:space="preserve"> 1987;</w:t>
      </w:r>
      <w:r w:rsidR="00F440F7" w:rsidRPr="00FF1DE5">
        <w:rPr>
          <w:rStyle w:val="Bodytext4"/>
          <w:rFonts w:asciiTheme="majorBidi" w:hAnsiTheme="majorBidi" w:cstheme="majorBidi"/>
          <w:sz w:val="24"/>
          <w:szCs w:val="24"/>
        </w:rPr>
        <w:t xml:space="preserve"> </w:t>
      </w:r>
      <w:r w:rsidR="00132481" w:rsidRPr="00FF1DE5">
        <w:rPr>
          <w:rStyle w:val="Bodytext4"/>
          <w:rFonts w:asciiTheme="majorBidi" w:hAnsiTheme="majorBidi" w:cstheme="majorBidi"/>
          <w:sz w:val="24"/>
          <w:szCs w:val="24"/>
        </w:rPr>
        <w:t>26</w:t>
      </w:r>
      <w:r w:rsidRPr="00FF1DE5">
        <w:rPr>
          <w:rStyle w:val="Bodytext4"/>
          <w:rFonts w:asciiTheme="majorBidi" w:hAnsiTheme="majorBidi" w:cstheme="majorBidi"/>
          <w:sz w:val="24"/>
          <w:szCs w:val="24"/>
        </w:rPr>
        <w:t>(1)</w:t>
      </w:r>
      <w:r w:rsidR="00132481" w:rsidRPr="00FF1DE5">
        <w:rPr>
          <w:rStyle w:val="Bodytext4"/>
          <w:rFonts w:asciiTheme="majorBidi" w:hAnsiTheme="majorBidi" w:cstheme="majorBidi"/>
          <w:sz w:val="24"/>
          <w:szCs w:val="24"/>
        </w:rPr>
        <w:t>:73-</w:t>
      </w:r>
      <w:r w:rsidR="00F440F7" w:rsidRPr="00FF1DE5">
        <w:rPr>
          <w:rStyle w:val="Bodytext4"/>
          <w:rFonts w:asciiTheme="majorBidi" w:hAnsiTheme="majorBidi" w:cstheme="majorBidi"/>
          <w:sz w:val="24"/>
          <w:szCs w:val="24"/>
        </w:rPr>
        <w:t>7</w:t>
      </w:r>
      <w:r w:rsidR="00132481" w:rsidRPr="00FF1DE5">
        <w:rPr>
          <w:rStyle w:val="Bodytext4"/>
          <w:rFonts w:asciiTheme="majorBidi" w:hAnsiTheme="majorBidi" w:cstheme="majorBidi"/>
          <w:sz w:val="24"/>
          <w:szCs w:val="24"/>
        </w:rPr>
        <w:t>4.</w:t>
      </w:r>
    </w:p>
    <w:p w:rsidR="00132481" w:rsidRPr="00FF1DE5" w:rsidRDefault="00F440F7" w:rsidP="00132481">
      <w:pPr>
        <w:pStyle w:val="ListParagraph"/>
        <w:numPr>
          <w:ilvl w:val="0"/>
          <w:numId w:val="11"/>
        </w:numPr>
        <w:autoSpaceDE w:val="0"/>
        <w:autoSpaceDN w:val="0"/>
        <w:adjustRightInd w:val="0"/>
        <w:spacing w:after="0" w:line="480" w:lineRule="auto"/>
        <w:jc w:val="both"/>
        <w:rPr>
          <w:rFonts w:asciiTheme="majorBidi" w:hAnsiTheme="majorBidi" w:cstheme="majorBidi"/>
          <w:iCs/>
          <w:sz w:val="24"/>
          <w:szCs w:val="24"/>
        </w:rPr>
      </w:pPr>
      <w:proofErr w:type="spellStart"/>
      <w:r w:rsidRPr="00FF1DE5">
        <w:rPr>
          <w:rFonts w:asciiTheme="majorBidi" w:hAnsiTheme="majorBidi" w:cstheme="majorBidi"/>
          <w:sz w:val="24"/>
          <w:szCs w:val="24"/>
        </w:rPr>
        <w:t>Goldmann</w:t>
      </w:r>
      <w:proofErr w:type="spellEnd"/>
      <w:r w:rsidRPr="00FF1DE5">
        <w:rPr>
          <w:rFonts w:asciiTheme="majorBidi" w:hAnsiTheme="majorBidi" w:cstheme="majorBidi"/>
          <w:sz w:val="24"/>
          <w:szCs w:val="24"/>
        </w:rPr>
        <w:t xml:space="preserve"> L, </w:t>
      </w:r>
      <w:proofErr w:type="spellStart"/>
      <w:r w:rsidRPr="00FF1DE5">
        <w:rPr>
          <w:rFonts w:asciiTheme="majorBidi" w:hAnsiTheme="majorBidi" w:cstheme="majorBidi"/>
          <w:sz w:val="24"/>
          <w:szCs w:val="24"/>
        </w:rPr>
        <w:t>Ogg</w:t>
      </w:r>
      <w:proofErr w:type="spellEnd"/>
      <w:r w:rsidRPr="00FF1DE5">
        <w:rPr>
          <w:rFonts w:asciiTheme="majorBidi" w:hAnsiTheme="majorBidi" w:cstheme="majorBidi"/>
          <w:sz w:val="24"/>
          <w:szCs w:val="24"/>
        </w:rPr>
        <w:t xml:space="preserve"> TW</w:t>
      </w:r>
      <w:r w:rsidR="000958E8" w:rsidRPr="00FF1DE5">
        <w:rPr>
          <w:rFonts w:asciiTheme="majorBidi" w:hAnsiTheme="majorBidi" w:cstheme="majorBidi"/>
          <w:sz w:val="24"/>
          <w:szCs w:val="24"/>
        </w:rPr>
        <w:t xml:space="preserve"> </w:t>
      </w:r>
      <w:r w:rsidRPr="00FF1DE5">
        <w:rPr>
          <w:rFonts w:asciiTheme="majorBidi" w:hAnsiTheme="majorBidi" w:cstheme="majorBidi"/>
          <w:sz w:val="24"/>
          <w:szCs w:val="24"/>
        </w:rPr>
        <w:t xml:space="preserve">and </w:t>
      </w:r>
      <w:proofErr w:type="spellStart"/>
      <w:r w:rsidR="000958E8" w:rsidRPr="00FF1DE5">
        <w:rPr>
          <w:rFonts w:asciiTheme="majorBidi" w:hAnsiTheme="majorBidi" w:cstheme="majorBidi"/>
          <w:sz w:val="24"/>
          <w:szCs w:val="24"/>
        </w:rPr>
        <w:t>Levey</w:t>
      </w:r>
      <w:proofErr w:type="spellEnd"/>
      <w:r w:rsidR="000958E8" w:rsidRPr="00FF1DE5">
        <w:rPr>
          <w:rFonts w:asciiTheme="majorBidi" w:hAnsiTheme="majorBidi" w:cstheme="majorBidi"/>
          <w:sz w:val="24"/>
          <w:szCs w:val="24"/>
        </w:rPr>
        <w:t xml:space="preserve"> AB.</w:t>
      </w:r>
      <w:r w:rsidR="00132481" w:rsidRPr="00FF1DE5">
        <w:rPr>
          <w:rFonts w:asciiTheme="majorBidi" w:hAnsiTheme="majorBidi" w:cstheme="majorBidi"/>
          <w:sz w:val="24"/>
          <w:szCs w:val="24"/>
        </w:rPr>
        <w:t xml:space="preserve"> </w:t>
      </w:r>
      <w:r w:rsidR="00132481" w:rsidRPr="00FF1DE5">
        <w:rPr>
          <w:rFonts w:asciiTheme="majorBidi" w:hAnsiTheme="majorBidi" w:cstheme="majorBidi"/>
          <w:iCs/>
          <w:sz w:val="24"/>
          <w:szCs w:val="24"/>
        </w:rPr>
        <w:t xml:space="preserve">Hypnosis and </w:t>
      </w:r>
      <w:proofErr w:type="spellStart"/>
      <w:r w:rsidR="00132481" w:rsidRPr="00FF1DE5">
        <w:rPr>
          <w:rFonts w:asciiTheme="majorBidi" w:hAnsiTheme="majorBidi" w:cstheme="majorBidi"/>
          <w:iCs/>
          <w:sz w:val="24"/>
          <w:szCs w:val="24"/>
        </w:rPr>
        <w:t>daycase</w:t>
      </w:r>
      <w:proofErr w:type="spellEnd"/>
      <w:r w:rsidR="00132481" w:rsidRPr="00FF1DE5">
        <w:rPr>
          <w:rFonts w:asciiTheme="majorBidi" w:hAnsiTheme="majorBidi" w:cstheme="majorBidi"/>
          <w:iCs/>
          <w:sz w:val="24"/>
          <w:szCs w:val="24"/>
        </w:rPr>
        <w:t xml:space="preserve"> </w:t>
      </w:r>
      <w:proofErr w:type="spellStart"/>
      <w:r w:rsidR="00132481" w:rsidRPr="00FF1DE5">
        <w:rPr>
          <w:rFonts w:asciiTheme="majorBidi" w:hAnsiTheme="majorBidi" w:cstheme="majorBidi"/>
          <w:iCs/>
          <w:sz w:val="24"/>
          <w:szCs w:val="24"/>
        </w:rPr>
        <w:t>anaesthesia</w:t>
      </w:r>
      <w:proofErr w:type="spellEnd"/>
      <w:r w:rsidR="00132481" w:rsidRPr="00FF1DE5">
        <w:rPr>
          <w:rFonts w:asciiTheme="majorBidi" w:hAnsiTheme="majorBidi" w:cstheme="majorBidi"/>
          <w:iCs/>
          <w:sz w:val="24"/>
          <w:szCs w:val="24"/>
        </w:rPr>
        <w:t xml:space="preserve">: A study to reduce pre-operative anxiety and intra-operative </w:t>
      </w:r>
      <w:proofErr w:type="spellStart"/>
      <w:r w:rsidR="00132481" w:rsidRPr="00FF1DE5">
        <w:rPr>
          <w:rFonts w:asciiTheme="majorBidi" w:hAnsiTheme="majorBidi" w:cstheme="majorBidi"/>
          <w:iCs/>
          <w:sz w:val="24"/>
          <w:szCs w:val="24"/>
        </w:rPr>
        <w:t>anaesthetic</w:t>
      </w:r>
      <w:proofErr w:type="spellEnd"/>
      <w:r w:rsidR="00132481" w:rsidRPr="00FF1DE5">
        <w:rPr>
          <w:rFonts w:asciiTheme="majorBidi" w:hAnsiTheme="majorBidi" w:cstheme="majorBidi"/>
          <w:iCs/>
          <w:sz w:val="24"/>
          <w:szCs w:val="24"/>
        </w:rPr>
        <w:t xml:space="preserve"> </w:t>
      </w:r>
      <w:r w:rsidR="000958E8" w:rsidRPr="00FF1DE5">
        <w:rPr>
          <w:rFonts w:asciiTheme="majorBidi" w:hAnsiTheme="majorBidi" w:cstheme="majorBidi"/>
          <w:iCs/>
          <w:sz w:val="24"/>
          <w:szCs w:val="24"/>
        </w:rPr>
        <w:t xml:space="preserve">requirements. </w:t>
      </w:r>
      <w:proofErr w:type="spellStart"/>
      <w:r w:rsidR="000958E8" w:rsidRPr="00FF1DE5">
        <w:rPr>
          <w:rFonts w:asciiTheme="majorBidi" w:hAnsiTheme="majorBidi" w:cstheme="majorBidi"/>
          <w:iCs/>
          <w:sz w:val="24"/>
          <w:szCs w:val="24"/>
        </w:rPr>
        <w:t>Anaesthesia</w:t>
      </w:r>
      <w:proofErr w:type="spellEnd"/>
      <w:r w:rsidR="000958E8" w:rsidRPr="00FF1DE5">
        <w:rPr>
          <w:rFonts w:asciiTheme="majorBidi" w:hAnsiTheme="majorBidi" w:cstheme="majorBidi"/>
          <w:iCs/>
          <w:sz w:val="24"/>
          <w:szCs w:val="24"/>
        </w:rPr>
        <w:t xml:space="preserve"> 1988;</w:t>
      </w:r>
      <w:r w:rsidRPr="00FF1DE5">
        <w:rPr>
          <w:rFonts w:asciiTheme="majorBidi" w:hAnsiTheme="majorBidi" w:cstheme="majorBidi"/>
          <w:iCs/>
          <w:sz w:val="24"/>
          <w:szCs w:val="24"/>
        </w:rPr>
        <w:t xml:space="preserve"> </w:t>
      </w:r>
      <w:r w:rsidR="00132481" w:rsidRPr="00FF1DE5">
        <w:rPr>
          <w:rFonts w:asciiTheme="majorBidi" w:hAnsiTheme="majorBidi" w:cstheme="majorBidi"/>
          <w:iCs/>
          <w:sz w:val="24"/>
          <w:szCs w:val="24"/>
        </w:rPr>
        <w:t>43</w:t>
      </w:r>
      <w:r w:rsidR="000958E8" w:rsidRPr="00FF1DE5">
        <w:rPr>
          <w:rFonts w:asciiTheme="majorBidi" w:hAnsiTheme="majorBidi" w:cstheme="majorBidi"/>
          <w:iCs/>
          <w:sz w:val="24"/>
          <w:szCs w:val="24"/>
        </w:rPr>
        <w:t>(6):</w:t>
      </w:r>
      <w:r w:rsidR="00132481" w:rsidRPr="00FF1DE5">
        <w:rPr>
          <w:rFonts w:asciiTheme="majorBidi" w:hAnsiTheme="majorBidi" w:cstheme="majorBidi"/>
          <w:iCs/>
          <w:sz w:val="24"/>
          <w:szCs w:val="24"/>
        </w:rPr>
        <w:t>466-</w:t>
      </w:r>
      <w:r w:rsidRPr="00FF1DE5">
        <w:rPr>
          <w:rFonts w:asciiTheme="majorBidi" w:hAnsiTheme="majorBidi" w:cstheme="majorBidi"/>
          <w:iCs/>
          <w:sz w:val="24"/>
          <w:szCs w:val="24"/>
        </w:rPr>
        <w:t>46</w:t>
      </w:r>
      <w:r w:rsidR="00132481" w:rsidRPr="00FF1DE5">
        <w:rPr>
          <w:rFonts w:asciiTheme="majorBidi" w:hAnsiTheme="majorBidi" w:cstheme="majorBidi"/>
          <w:iCs/>
          <w:sz w:val="24"/>
          <w:szCs w:val="24"/>
        </w:rPr>
        <w:t>9.</w:t>
      </w:r>
    </w:p>
    <w:p w:rsidR="00132481" w:rsidRPr="00FF1DE5" w:rsidRDefault="00132481" w:rsidP="00132481">
      <w:pPr>
        <w:pStyle w:val="Bodytext140"/>
        <w:numPr>
          <w:ilvl w:val="0"/>
          <w:numId w:val="11"/>
        </w:numPr>
        <w:shd w:val="clear" w:color="auto" w:fill="auto"/>
        <w:tabs>
          <w:tab w:val="left" w:pos="178"/>
        </w:tabs>
        <w:spacing w:line="480" w:lineRule="auto"/>
        <w:ind w:right="40"/>
        <w:rPr>
          <w:rFonts w:asciiTheme="majorBidi" w:hAnsiTheme="majorBidi" w:cstheme="majorBidi"/>
          <w:sz w:val="24"/>
          <w:szCs w:val="24"/>
        </w:rPr>
      </w:pPr>
      <w:proofErr w:type="spellStart"/>
      <w:r w:rsidRPr="00FF1DE5">
        <w:rPr>
          <w:rStyle w:val="Bodytext4"/>
          <w:rFonts w:asciiTheme="majorBidi" w:hAnsiTheme="majorBidi" w:cstheme="majorBidi"/>
          <w:sz w:val="24"/>
          <w:szCs w:val="24"/>
        </w:rPr>
        <w:t>Marantes</w:t>
      </w:r>
      <w:proofErr w:type="spellEnd"/>
      <w:r w:rsidRPr="00FF1DE5">
        <w:rPr>
          <w:rStyle w:val="Bodytext4"/>
          <w:rFonts w:asciiTheme="majorBidi" w:hAnsiTheme="majorBidi" w:cstheme="majorBidi"/>
          <w:sz w:val="24"/>
          <w:szCs w:val="24"/>
        </w:rPr>
        <w:t xml:space="preserve"> I</w:t>
      </w:r>
      <w:r w:rsidR="00F440F7" w:rsidRPr="00FF1DE5">
        <w:rPr>
          <w:rStyle w:val="Bodytext4"/>
          <w:rFonts w:asciiTheme="majorBidi" w:hAnsiTheme="majorBidi" w:cstheme="majorBidi"/>
          <w:sz w:val="24"/>
          <w:szCs w:val="24"/>
        </w:rPr>
        <w:t xml:space="preserve"> and</w:t>
      </w:r>
      <w:r w:rsidRPr="00FF1DE5">
        <w:rPr>
          <w:rStyle w:val="Bodytext14NotItalic"/>
          <w:rFonts w:asciiTheme="majorBidi" w:hAnsiTheme="majorBidi" w:cstheme="majorBidi"/>
          <w:sz w:val="24"/>
          <w:szCs w:val="24"/>
        </w:rPr>
        <w:t xml:space="preserve"> </w:t>
      </w:r>
      <w:proofErr w:type="spellStart"/>
      <w:r w:rsidRPr="00FF1DE5">
        <w:rPr>
          <w:rStyle w:val="Bodytext9"/>
          <w:rFonts w:asciiTheme="majorBidi" w:hAnsiTheme="majorBidi" w:cstheme="majorBidi"/>
          <w:sz w:val="24"/>
          <w:szCs w:val="24"/>
        </w:rPr>
        <w:t>Kai</w:t>
      </w:r>
      <w:r w:rsidR="006663E7" w:rsidRPr="00FF1DE5">
        <w:rPr>
          <w:rStyle w:val="Bodytext9"/>
          <w:rFonts w:asciiTheme="majorBidi" w:hAnsiTheme="majorBidi" w:cstheme="majorBidi"/>
          <w:sz w:val="24"/>
          <w:szCs w:val="24"/>
        </w:rPr>
        <w:t>n</w:t>
      </w:r>
      <w:proofErr w:type="spellEnd"/>
      <w:r w:rsidR="006663E7" w:rsidRPr="00FF1DE5">
        <w:rPr>
          <w:rStyle w:val="Bodytext9"/>
          <w:rFonts w:asciiTheme="majorBidi" w:hAnsiTheme="majorBidi" w:cstheme="majorBidi"/>
          <w:sz w:val="24"/>
          <w:szCs w:val="24"/>
        </w:rPr>
        <w:t xml:space="preserve"> ZN.</w:t>
      </w:r>
      <w:r w:rsidRPr="00FF1DE5">
        <w:rPr>
          <w:rStyle w:val="Bodytext9"/>
          <w:rFonts w:asciiTheme="majorBidi" w:hAnsiTheme="majorBidi" w:cstheme="majorBidi"/>
          <w:sz w:val="24"/>
          <w:szCs w:val="24"/>
        </w:rPr>
        <w:t xml:space="preserve"> </w:t>
      </w:r>
      <w:r w:rsidRPr="00FF1DE5">
        <w:rPr>
          <w:rFonts w:asciiTheme="majorBidi" w:hAnsiTheme="majorBidi" w:cstheme="majorBidi"/>
          <w:sz w:val="24"/>
          <w:szCs w:val="24"/>
        </w:rPr>
        <w:t xml:space="preserve">Preoperative anxiety and </w:t>
      </w:r>
      <w:proofErr w:type="spellStart"/>
      <w:r w:rsidRPr="00FF1DE5">
        <w:rPr>
          <w:rFonts w:asciiTheme="majorBidi" w:hAnsiTheme="majorBidi" w:cstheme="majorBidi"/>
          <w:sz w:val="24"/>
          <w:szCs w:val="24"/>
        </w:rPr>
        <w:t>intraoperative</w:t>
      </w:r>
      <w:proofErr w:type="spellEnd"/>
      <w:r w:rsidRPr="00FF1DE5">
        <w:rPr>
          <w:rFonts w:asciiTheme="majorBidi" w:hAnsiTheme="majorBidi" w:cstheme="majorBidi"/>
          <w:sz w:val="24"/>
          <w:szCs w:val="24"/>
        </w:rPr>
        <w:t xml:space="preserve"> anes</w:t>
      </w:r>
      <w:r w:rsidRPr="00FF1DE5">
        <w:rPr>
          <w:rFonts w:asciiTheme="majorBidi" w:hAnsiTheme="majorBidi" w:cstheme="majorBidi"/>
          <w:sz w:val="24"/>
          <w:szCs w:val="24"/>
        </w:rPr>
        <w:softHyphen/>
        <w:t xml:space="preserve">thetic requirements. </w:t>
      </w:r>
      <w:proofErr w:type="spellStart"/>
      <w:r w:rsidRPr="00FF1DE5">
        <w:rPr>
          <w:rFonts w:asciiTheme="majorBidi" w:hAnsiTheme="majorBidi" w:cstheme="majorBidi"/>
          <w:sz w:val="24"/>
          <w:szCs w:val="24"/>
        </w:rPr>
        <w:t>Anesth</w:t>
      </w:r>
      <w:proofErr w:type="spellEnd"/>
      <w:r w:rsidRPr="00FF1DE5">
        <w:rPr>
          <w:rFonts w:asciiTheme="majorBidi" w:hAnsiTheme="majorBidi" w:cstheme="majorBidi"/>
          <w:sz w:val="24"/>
          <w:szCs w:val="24"/>
        </w:rPr>
        <w:t xml:space="preserve"> </w:t>
      </w:r>
      <w:proofErr w:type="spellStart"/>
      <w:r w:rsidRPr="00FF1DE5">
        <w:rPr>
          <w:rFonts w:asciiTheme="majorBidi" w:hAnsiTheme="majorBidi" w:cstheme="majorBidi"/>
          <w:sz w:val="24"/>
          <w:szCs w:val="24"/>
        </w:rPr>
        <w:t>Analg</w:t>
      </w:r>
      <w:proofErr w:type="spellEnd"/>
      <w:r w:rsidRPr="00FF1DE5">
        <w:rPr>
          <w:rFonts w:asciiTheme="majorBidi" w:hAnsiTheme="majorBidi" w:cstheme="majorBidi"/>
          <w:sz w:val="24"/>
          <w:szCs w:val="24"/>
        </w:rPr>
        <w:t xml:space="preserve"> 1999; 89</w:t>
      </w:r>
      <w:r w:rsidR="006663E7" w:rsidRPr="00FF1DE5">
        <w:rPr>
          <w:rFonts w:asciiTheme="majorBidi" w:hAnsiTheme="majorBidi" w:cstheme="majorBidi"/>
          <w:sz w:val="24"/>
          <w:szCs w:val="24"/>
        </w:rPr>
        <w:t>(6)</w:t>
      </w:r>
      <w:r w:rsidRPr="00FF1DE5">
        <w:rPr>
          <w:rFonts w:asciiTheme="majorBidi" w:hAnsiTheme="majorBidi" w:cstheme="majorBidi"/>
          <w:sz w:val="24"/>
          <w:szCs w:val="24"/>
        </w:rPr>
        <w:t>:1346-</w:t>
      </w:r>
      <w:r w:rsidR="00F440F7" w:rsidRPr="00FF1DE5">
        <w:rPr>
          <w:rFonts w:asciiTheme="majorBidi" w:hAnsiTheme="majorBidi" w:cstheme="majorBidi"/>
          <w:sz w:val="24"/>
          <w:szCs w:val="24"/>
        </w:rPr>
        <w:t>13</w:t>
      </w:r>
      <w:r w:rsidRPr="00FF1DE5">
        <w:rPr>
          <w:rFonts w:asciiTheme="majorBidi" w:hAnsiTheme="majorBidi" w:cstheme="majorBidi"/>
          <w:sz w:val="24"/>
          <w:szCs w:val="24"/>
        </w:rPr>
        <w:t>51.</w:t>
      </w:r>
    </w:p>
    <w:p w:rsidR="00132481" w:rsidRPr="00FF1DE5" w:rsidRDefault="00132481" w:rsidP="00132481">
      <w:pPr>
        <w:pStyle w:val="ListParagraph"/>
        <w:numPr>
          <w:ilvl w:val="0"/>
          <w:numId w:val="11"/>
        </w:numPr>
        <w:shd w:val="clear" w:color="auto" w:fill="FFFFFF"/>
        <w:tabs>
          <w:tab w:val="left" w:pos="0"/>
        </w:tabs>
        <w:autoSpaceDE w:val="0"/>
        <w:autoSpaceDN w:val="0"/>
        <w:adjustRightInd w:val="0"/>
        <w:spacing w:after="0" w:line="480" w:lineRule="auto"/>
        <w:jc w:val="both"/>
        <w:textAlignment w:val="baseline"/>
        <w:rPr>
          <w:rStyle w:val="Bodytext9"/>
          <w:rFonts w:asciiTheme="majorBidi" w:eastAsia="Times New Roman" w:hAnsiTheme="majorBidi" w:cstheme="majorBidi"/>
          <w:sz w:val="24"/>
          <w:szCs w:val="24"/>
          <w:lang w:eastAsia="en-IN"/>
        </w:rPr>
      </w:pPr>
      <w:proofErr w:type="spellStart"/>
      <w:r w:rsidRPr="00FF1DE5">
        <w:rPr>
          <w:rStyle w:val="Bodytext9"/>
          <w:rFonts w:asciiTheme="majorBidi" w:hAnsiTheme="majorBidi" w:cstheme="majorBidi"/>
          <w:sz w:val="24"/>
          <w:szCs w:val="24"/>
        </w:rPr>
        <w:t>Kil</w:t>
      </w:r>
      <w:proofErr w:type="spellEnd"/>
      <w:r w:rsidRPr="00FF1DE5">
        <w:rPr>
          <w:rStyle w:val="Bodytext9"/>
          <w:rFonts w:asciiTheme="majorBidi" w:hAnsiTheme="majorBidi" w:cstheme="majorBidi"/>
          <w:sz w:val="24"/>
          <w:szCs w:val="24"/>
        </w:rPr>
        <w:t xml:space="preserve"> HK, Kim WO, C</w:t>
      </w:r>
      <w:r w:rsidR="00F440F7" w:rsidRPr="00FF1DE5">
        <w:rPr>
          <w:rStyle w:val="Bodytext9"/>
          <w:rFonts w:asciiTheme="majorBidi" w:hAnsiTheme="majorBidi" w:cstheme="majorBidi"/>
          <w:sz w:val="24"/>
          <w:szCs w:val="24"/>
        </w:rPr>
        <w:t xml:space="preserve">hung WY, Kim GH, </w:t>
      </w:r>
      <w:proofErr w:type="spellStart"/>
      <w:r w:rsidR="00F440F7" w:rsidRPr="00FF1DE5">
        <w:rPr>
          <w:rStyle w:val="Bodytext9"/>
          <w:rFonts w:asciiTheme="majorBidi" w:hAnsiTheme="majorBidi" w:cstheme="majorBidi"/>
          <w:sz w:val="24"/>
          <w:szCs w:val="24"/>
        </w:rPr>
        <w:t>Seo</w:t>
      </w:r>
      <w:proofErr w:type="spellEnd"/>
      <w:r w:rsidR="00F440F7" w:rsidRPr="00FF1DE5">
        <w:rPr>
          <w:rStyle w:val="Bodytext9"/>
          <w:rFonts w:asciiTheme="majorBidi" w:hAnsiTheme="majorBidi" w:cstheme="majorBidi"/>
          <w:sz w:val="24"/>
          <w:szCs w:val="24"/>
        </w:rPr>
        <w:t xml:space="preserve"> H and</w:t>
      </w:r>
      <w:r w:rsidR="006663E7" w:rsidRPr="00FF1DE5">
        <w:rPr>
          <w:rStyle w:val="Bodytext9"/>
          <w:rFonts w:asciiTheme="majorBidi" w:hAnsiTheme="majorBidi" w:cstheme="majorBidi"/>
          <w:sz w:val="24"/>
          <w:szCs w:val="24"/>
        </w:rPr>
        <w:t xml:space="preserve"> Hong JY.</w:t>
      </w:r>
      <w:r w:rsidRPr="00FF1DE5">
        <w:rPr>
          <w:rStyle w:val="Bodytext9"/>
          <w:rFonts w:asciiTheme="majorBidi" w:hAnsiTheme="majorBidi" w:cstheme="majorBidi"/>
          <w:sz w:val="24"/>
          <w:szCs w:val="24"/>
        </w:rPr>
        <w:t xml:space="preserve"> Preoperative anxiety and pain sensitivity are independent predictors of </w:t>
      </w:r>
      <w:proofErr w:type="spellStart"/>
      <w:r w:rsidRPr="00FF1DE5">
        <w:rPr>
          <w:rStyle w:val="Bodytext9"/>
          <w:rFonts w:asciiTheme="majorBidi" w:hAnsiTheme="majorBidi" w:cstheme="majorBidi"/>
          <w:sz w:val="24"/>
          <w:szCs w:val="24"/>
        </w:rPr>
        <w:t>propofol</w:t>
      </w:r>
      <w:proofErr w:type="spellEnd"/>
      <w:r w:rsidRPr="00FF1DE5">
        <w:rPr>
          <w:rStyle w:val="Bodytext9"/>
          <w:rFonts w:asciiTheme="majorBidi" w:hAnsiTheme="majorBidi" w:cstheme="majorBidi"/>
          <w:sz w:val="24"/>
          <w:szCs w:val="24"/>
        </w:rPr>
        <w:t xml:space="preserve"> and </w:t>
      </w:r>
      <w:proofErr w:type="spellStart"/>
      <w:r w:rsidRPr="00FF1DE5">
        <w:rPr>
          <w:rStyle w:val="Bodytext9"/>
          <w:rFonts w:asciiTheme="majorBidi" w:hAnsiTheme="majorBidi" w:cstheme="majorBidi"/>
          <w:sz w:val="24"/>
          <w:szCs w:val="24"/>
        </w:rPr>
        <w:t>sevoflurane</w:t>
      </w:r>
      <w:proofErr w:type="spellEnd"/>
      <w:r w:rsidRPr="00FF1DE5">
        <w:rPr>
          <w:rStyle w:val="Bodytext9"/>
          <w:rFonts w:asciiTheme="majorBidi" w:hAnsiTheme="majorBidi" w:cstheme="majorBidi"/>
          <w:sz w:val="24"/>
          <w:szCs w:val="24"/>
        </w:rPr>
        <w:t xml:space="preserve"> requirements in general </w:t>
      </w:r>
      <w:proofErr w:type="spellStart"/>
      <w:r w:rsidR="006663E7" w:rsidRPr="00FF1DE5">
        <w:rPr>
          <w:rStyle w:val="Bodytext9"/>
          <w:rFonts w:asciiTheme="majorBidi" w:hAnsiTheme="majorBidi" w:cstheme="majorBidi"/>
          <w:sz w:val="24"/>
          <w:szCs w:val="24"/>
        </w:rPr>
        <w:t>anaesthesia</w:t>
      </w:r>
      <w:proofErr w:type="spellEnd"/>
      <w:r w:rsidR="006663E7" w:rsidRPr="00FF1DE5">
        <w:rPr>
          <w:rStyle w:val="Bodytext9"/>
          <w:rFonts w:asciiTheme="majorBidi" w:hAnsiTheme="majorBidi" w:cstheme="majorBidi"/>
          <w:sz w:val="24"/>
          <w:szCs w:val="24"/>
        </w:rPr>
        <w:t xml:space="preserve">. Br J </w:t>
      </w:r>
      <w:proofErr w:type="spellStart"/>
      <w:r w:rsidR="006663E7" w:rsidRPr="00FF1DE5">
        <w:rPr>
          <w:rStyle w:val="Bodytext9"/>
          <w:rFonts w:asciiTheme="majorBidi" w:hAnsiTheme="majorBidi" w:cstheme="majorBidi"/>
          <w:sz w:val="24"/>
          <w:szCs w:val="24"/>
        </w:rPr>
        <w:t>Anaesth</w:t>
      </w:r>
      <w:proofErr w:type="spellEnd"/>
      <w:r w:rsidR="006663E7" w:rsidRPr="00FF1DE5">
        <w:rPr>
          <w:rStyle w:val="Bodytext9"/>
          <w:rFonts w:asciiTheme="majorBidi" w:hAnsiTheme="majorBidi" w:cstheme="majorBidi"/>
          <w:sz w:val="24"/>
          <w:szCs w:val="24"/>
        </w:rPr>
        <w:t xml:space="preserve"> 2012;</w:t>
      </w:r>
      <w:r w:rsidR="00F440F7" w:rsidRPr="00FF1DE5">
        <w:rPr>
          <w:rStyle w:val="Bodytext9"/>
          <w:rFonts w:asciiTheme="majorBidi" w:hAnsiTheme="majorBidi" w:cstheme="majorBidi"/>
          <w:sz w:val="24"/>
          <w:szCs w:val="24"/>
        </w:rPr>
        <w:t xml:space="preserve"> </w:t>
      </w:r>
      <w:r w:rsidRPr="00FF1DE5">
        <w:rPr>
          <w:rStyle w:val="Bodytext9"/>
          <w:rFonts w:asciiTheme="majorBidi" w:hAnsiTheme="majorBidi" w:cstheme="majorBidi"/>
          <w:sz w:val="24"/>
          <w:szCs w:val="24"/>
        </w:rPr>
        <w:t>108</w:t>
      </w:r>
      <w:r w:rsidR="006663E7" w:rsidRPr="00FF1DE5">
        <w:rPr>
          <w:rStyle w:val="Bodytext9"/>
          <w:rFonts w:asciiTheme="majorBidi" w:hAnsiTheme="majorBidi" w:cstheme="majorBidi"/>
          <w:sz w:val="24"/>
          <w:szCs w:val="24"/>
        </w:rPr>
        <w:t>(1):</w:t>
      </w:r>
      <w:r w:rsidRPr="00FF1DE5">
        <w:rPr>
          <w:rStyle w:val="Bodytext9"/>
          <w:rFonts w:asciiTheme="majorBidi" w:hAnsiTheme="majorBidi" w:cstheme="majorBidi"/>
          <w:sz w:val="24"/>
          <w:szCs w:val="24"/>
        </w:rPr>
        <w:t>119-</w:t>
      </w:r>
      <w:r w:rsidR="00F440F7" w:rsidRPr="00FF1DE5">
        <w:rPr>
          <w:rStyle w:val="Bodytext9"/>
          <w:rFonts w:asciiTheme="majorBidi" w:hAnsiTheme="majorBidi" w:cstheme="majorBidi"/>
          <w:sz w:val="24"/>
          <w:szCs w:val="24"/>
        </w:rPr>
        <w:t>1</w:t>
      </w:r>
      <w:r w:rsidRPr="00FF1DE5">
        <w:rPr>
          <w:rStyle w:val="Bodytext9"/>
          <w:rFonts w:asciiTheme="majorBidi" w:hAnsiTheme="majorBidi" w:cstheme="majorBidi"/>
          <w:sz w:val="24"/>
          <w:szCs w:val="24"/>
        </w:rPr>
        <w:t>25.</w:t>
      </w:r>
    </w:p>
    <w:p w:rsidR="00132481" w:rsidRPr="00FF1DE5" w:rsidRDefault="00F440F7" w:rsidP="00132481">
      <w:pPr>
        <w:pStyle w:val="ListParagraph"/>
        <w:keepNext/>
        <w:keepLines/>
        <w:numPr>
          <w:ilvl w:val="0"/>
          <w:numId w:val="11"/>
        </w:numPr>
        <w:tabs>
          <w:tab w:val="left" w:pos="222"/>
        </w:tabs>
        <w:spacing w:after="0" w:line="480" w:lineRule="auto"/>
        <w:ind w:right="20"/>
        <w:jc w:val="both"/>
        <w:rPr>
          <w:rStyle w:val="Bodytext3"/>
          <w:rFonts w:asciiTheme="majorBidi" w:hAnsiTheme="majorBidi" w:cstheme="majorBidi"/>
          <w:sz w:val="24"/>
          <w:szCs w:val="24"/>
        </w:rPr>
      </w:pPr>
      <w:bookmarkStart w:id="0" w:name="bookmark19"/>
      <w:r w:rsidRPr="00FF1DE5">
        <w:rPr>
          <w:rStyle w:val="Bodytext3"/>
          <w:rFonts w:asciiTheme="majorBidi" w:hAnsiTheme="majorBidi" w:cstheme="majorBidi"/>
          <w:sz w:val="24"/>
          <w:szCs w:val="24"/>
        </w:rPr>
        <w:t>Osborn TM and</w:t>
      </w:r>
      <w:r w:rsidR="006663E7" w:rsidRPr="00FF1DE5">
        <w:rPr>
          <w:rStyle w:val="Bodytext3"/>
          <w:rFonts w:asciiTheme="majorBidi" w:hAnsiTheme="majorBidi" w:cstheme="majorBidi"/>
          <w:sz w:val="24"/>
          <w:szCs w:val="24"/>
        </w:rPr>
        <w:t xml:space="preserve"> Sandler NA.</w:t>
      </w:r>
      <w:r w:rsidR="00132481" w:rsidRPr="00FF1DE5">
        <w:rPr>
          <w:rStyle w:val="Bodytext3"/>
          <w:rFonts w:asciiTheme="majorBidi" w:hAnsiTheme="majorBidi" w:cstheme="majorBidi"/>
          <w:sz w:val="24"/>
          <w:szCs w:val="24"/>
        </w:rPr>
        <w:t xml:space="preserve"> The effects of preoperative anxiety on intravenous sedation.</w:t>
      </w:r>
      <w:r w:rsidR="00132481" w:rsidRPr="00FF1DE5">
        <w:rPr>
          <w:rStyle w:val="Bodytext3Italic"/>
          <w:rFonts w:asciiTheme="majorBidi" w:eastAsiaTheme="minorHAnsi" w:hAnsiTheme="majorBidi" w:cstheme="majorBidi"/>
          <w:sz w:val="24"/>
          <w:szCs w:val="24"/>
        </w:rPr>
        <w:t xml:space="preserve"> </w:t>
      </w:r>
      <w:proofErr w:type="spellStart"/>
      <w:r w:rsidR="00132481" w:rsidRPr="00FF1DE5">
        <w:rPr>
          <w:rStyle w:val="Bodytext3Italic"/>
          <w:rFonts w:asciiTheme="majorBidi" w:eastAsiaTheme="minorHAnsi" w:hAnsiTheme="majorBidi" w:cstheme="majorBidi"/>
          <w:i w:val="0"/>
          <w:sz w:val="24"/>
          <w:szCs w:val="24"/>
        </w:rPr>
        <w:t>Anesth</w:t>
      </w:r>
      <w:proofErr w:type="spellEnd"/>
      <w:r w:rsidR="00132481" w:rsidRPr="00FF1DE5">
        <w:rPr>
          <w:rStyle w:val="Bodytext3Italic"/>
          <w:rFonts w:asciiTheme="majorBidi" w:eastAsiaTheme="minorHAnsi" w:hAnsiTheme="majorBidi" w:cstheme="majorBidi"/>
          <w:i w:val="0"/>
          <w:sz w:val="24"/>
          <w:szCs w:val="24"/>
        </w:rPr>
        <w:t xml:space="preserve"> </w:t>
      </w:r>
      <w:proofErr w:type="spellStart"/>
      <w:r w:rsidR="00132481" w:rsidRPr="00FF1DE5">
        <w:rPr>
          <w:rStyle w:val="Bodytext3Italic"/>
          <w:rFonts w:asciiTheme="majorBidi" w:eastAsiaTheme="minorHAnsi" w:hAnsiTheme="majorBidi" w:cstheme="majorBidi"/>
          <w:i w:val="0"/>
          <w:sz w:val="24"/>
          <w:szCs w:val="24"/>
        </w:rPr>
        <w:t>Prog</w:t>
      </w:r>
      <w:proofErr w:type="spellEnd"/>
      <w:r w:rsidR="00132481" w:rsidRPr="00FF1DE5">
        <w:rPr>
          <w:rStyle w:val="Bodytext3"/>
          <w:rFonts w:asciiTheme="majorBidi" w:hAnsiTheme="majorBidi" w:cstheme="majorBidi"/>
          <w:sz w:val="24"/>
          <w:szCs w:val="24"/>
        </w:rPr>
        <w:t xml:space="preserve"> 2004</w:t>
      </w:r>
      <w:r w:rsidR="00132481" w:rsidRPr="00FF1DE5">
        <w:rPr>
          <w:rStyle w:val="Bodytext3"/>
          <w:rFonts w:asciiTheme="majorBidi" w:hAnsiTheme="majorBidi" w:cstheme="majorBidi"/>
          <w:b/>
          <w:sz w:val="24"/>
          <w:szCs w:val="24"/>
        </w:rPr>
        <w:t>;</w:t>
      </w:r>
      <w:r w:rsidRPr="00FF1DE5">
        <w:rPr>
          <w:rStyle w:val="Bodytext3"/>
          <w:rFonts w:asciiTheme="majorBidi" w:hAnsiTheme="majorBidi" w:cstheme="majorBidi"/>
          <w:b/>
          <w:sz w:val="24"/>
          <w:szCs w:val="24"/>
        </w:rPr>
        <w:t xml:space="preserve"> </w:t>
      </w:r>
      <w:r w:rsidR="00132481" w:rsidRPr="00FF1DE5">
        <w:rPr>
          <w:rStyle w:val="Bodytext3Bold"/>
          <w:rFonts w:asciiTheme="majorBidi" w:hAnsiTheme="majorBidi" w:cstheme="majorBidi"/>
          <w:b w:val="0"/>
          <w:bCs w:val="0"/>
          <w:sz w:val="24"/>
          <w:szCs w:val="24"/>
        </w:rPr>
        <w:t>51</w:t>
      </w:r>
      <w:r w:rsidR="006663E7" w:rsidRPr="00FF1DE5">
        <w:rPr>
          <w:rStyle w:val="Bodytext3Bold"/>
          <w:rFonts w:asciiTheme="majorBidi" w:hAnsiTheme="majorBidi" w:cstheme="majorBidi"/>
          <w:b w:val="0"/>
          <w:bCs w:val="0"/>
          <w:sz w:val="24"/>
          <w:szCs w:val="24"/>
        </w:rPr>
        <w:t>(2)</w:t>
      </w:r>
      <w:r w:rsidR="00132481" w:rsidRPr="00FF1DE5">
        <w:rPr>
          <w:rStyle w:val="Bodytext3Bold"/>
          <w:rFonts w:asciiTheme="majorBidi" w:hAnsiTheme="majorBidi" w:cstheme="majorBidi"/>
          <w:sz w:val="24"/>
          <w:szCs w:val="24"/>
        </w:rPr>
        <w:t>:</w:t>
      </w:r>
      <w:r w:rsidR="00132481" w:rsidRPr="00FF1DE5">
        <w:rPr>
          <w:rStyle w:val="Bodytext3"/>
          <w:rFonts w:asciiTheme="majorBidi" w:hAnsiTheme="majorBidi" w:cstheme="majorBidi"/>
          <w:sz w:val="24"/>
          <w:szCs w:val="24"/>
        </w:rPr>
        <w:t>46-51</w:t>
      </w:r>
      <w:bookmarkEnd w:id="0"/>
      <w:r w:rsidR="006663E7" w:rsidRPr="00FF1DE5">
        <w:rPr>
          <w:rStyle w:val="Bodytext3"/>
          <w:rFonts w:asciiTheme="majorBidi" w:hAnsiTheme="majorBidi" w:cstheme="majorBidi"/>
          <w:sz w:val="24"/>
          <w:szCs w:val="24"/>
        </w:rPr>
        <w:t>.</w:t>
      </w:r>
    </w:p>
    <w:p w:rsidR="00132481" w:rsidRPr="00FF1DE5" w:rsidRDefault="00132481" w:rsidP="00132481">
      <w:pPr>
        <w:pStyle w:val="ListParagraph"/>
        <w:keepNext/>
        <w:keepLines/>
        <w:numPr>
          <w:ilvl w:val="0"/>
          <w:numId w:val="11"/>
        </w:numPr>
        <w:tabs>
          <w:tab w:val="left" w:pos="222"/>
        </w:tabs>
        <w:spacing w:after="0" w:line="480" w:lineRule="auto"/>
        <w:ind w:right="20"/>
        <w:jc w:val="both"/>
        <w:rPr>
          <w:rFonts w:asciiTheme="majorBidi" w:hAnsiTheme="majorBidi" w:cstheme="majorBidi"/>
          <w:sz w:val="24"/>
          <w:szCs w:val="24"/>
        </w:rPr>
      </w:pPr>
      <w:r w:rsidRPr="00FF1DE5">
        <w:rPr>
          <w:rStyle w:val="Bodytext4"/>
          <w:rFonts w:asciiTheme="majorBidi" w:hAnsiTheme="majorBidi" w:cstheme="majorBidi"/>
          <w:sz w:val="24"/>
          <w:szCs w:val="24"/>
        </w:rPr>
        <w:t xml:space="preserve">Hong JY, Kang IS, </w:t>
      </w:r>
      <w:proofErr w:type="spellStart"/>
      <w:r w:rsidRPr="00FF1DE5">
        <w:rPr>
          <w:rStyle w:val="Bodytext4"/>
          <w:rFonts w:asciiTheme="majorBidi" w:hAnsiTheme="majorBidi" w:cstheme="majorBidi"/>
          <w:sz w:val="24"/>
          <w:szCs w:val="24"/>
        </w:rPr>
        <w:t>Koong</w:t>
      </w:r>
      <w:proofErr w:type="spellEnd"/>
      <w:r w:rsidRPr="00FF1DE5">
        <w:rPr>
          <w:rStyle w:val="Bodytext4"/>
          <w:rFonts w:asciiTheme="majorBidi" w:hAnsiTheme="majorBidi" w:cstheme="majorBidi"/>
          <w:sz w:val="24"/>
          <w:szCs w:val="24"/>
        </w:rPr>
        <w:t xml:space="preserve"> MK, Yo</w:t>
      </w:r>
      <w:r w:rsidR="004D0377" w:rsidRPr="00FF1DE5">
        <w:rPr>
          <w:rStyle w:val="Bodytext4"/>
          <w:rFonts w:asciiTheme="majorBidi" w:hAnsiTheme="majorBidi" w:cstheme="majorBidi"/>
          <w:sz w:val="24"/>
          <w:szCs w:val="24"/>
        </w:rPr>
        <w:t xml:space="preserve">on HJ, </w:t>
      </w:r>
      <w:proofErr w:type="spellStart"/>
      <w:r w:rsidR="004D0377" w:rsidRPr="00FF1DE5">
        <w:rPr>
          <w:rStyle w:val="Bodytext4"/>
          <w:rFonts w:asciiTheme="majorBidi" w:hAnsiTheme="majorBidi" w:cstheme="majorBidi"/>
          <w:sz w:val="24"/>
          <w:szCs w:val="24"/>
        </w:rPr>
        <w:t>Jee</w:t>
      </w:r>
      <w:proofErr w:type="spellEnd"/>
      <w:r w:rsidR="004D0377" w:rsidRPr="00FF1DE5">
        <w:rPr>
          <w:rStyle w:val="Bodytext4"/>
          <w:rFonts w:asciiTheme="majorBidi" w:hAnsiTheme="majorBidi" w:cstheme="majorBidi"/>
          <w:sz w:val="24"/>
          <w:szCs w:val="24"/>
        </w:rPr>
        <w:t xml:space="preserve"> YS, Park JW, et al.</w:t>
      </w:r>
      <w:r w:rsidRPr="00FF1DE5">
        <w:rPr>
          <w:rStyle w:val="Bodytext4"/>
          <w:rFonts w:asciiTheme="majorBidi" w:hAnsiTheme="majorBidi" w:cstheme="majorBidi"/>
          <w:sz w:val="24"/>
          <w:szCs w:val="24"/>
        </w:rPr>
        <w:t xml:space="preserve"> Preoperative anxiety and </w:t>
      </w:r>
      <w:proofErr w:type="spellStart"/>
      <w:r w:rsidRPr="00FF1DE5">
        <w:rPr>
          <w:rStyle w:val="Bodytext4"/>
          <w:rFonts w:asciiTheme="majorBidi" w:hAnsiTheme="majorBidi" w:cstheme="majorBidi"/>
          <w:sz w:val="24"/>
          <w:szCs w:val="24"/>
        </w:rPr>
        <w:t>propofol</w:t>
      </w:r>
      <w:proofErr w:type="spellEnd"/>
      <w:r w:rsidRPr="00FF1DE5">
        <w:rPr>
          <w:rStyle w:val="Bodytext4"/>
          <w:rFonts w:asciiTheme="majorBidi" w:hAnsiTheme="majorBidi" w:cstheme="majorBidi"/>
          <w:sz w:val="24"/>
          <w:szCs w:val="24"/>
        </w:rPr>
        <w:t xml:space="preserve"> requirement in con</w:t>
      </w:r>
      <w:r w:rsidRPr="00FF1DE5">
        <w:rPr>
          <w:rStyle w:val="Bodytext4"/>
          <w:rFonts w:asciiTheme="majorBidi" w:hAnsiTheme="majorBidi" w:cstheme="majorBidi"/>
          <w:sz w:val="24"/>
          <w:szCs w:val="24"/>
        </w:rPr>
        <w:softHyphen/>
        <w:t xml:space="preserve">scious sedation for ovum retrieval. J Korean Med </w:t>
      </w:r>
      <w:proofErr w:type="spellStart"/>
      <w:r w:rsidRPr="00FF1DE5">
        <w:rPr>
          <w:rStyle w:val="Bodytext4"/>
          <w:rFonts w:asciiTheme="majorBidi" w:hAnsiTheme="majorBidi" w:cstheme="majorBidi"/>
          <w:sz w:val="24"/>
          <w:szCs w:val="24"/>
        </w:rPr>
        <w:t>Sci</w:t>
      </w:r>
      <w:proofErr w:type="spellEnd"/>
      <w:r w:rsidRPr="00FF1DE5">
        <w:rPr>
          <w:rStyle w:val="Bodytext4"/>
          <w:rFonts w:asciiTheme="majorBidi" w:hAnsiTheme="majorBidi" w:cstheme="majorBidi"/>
          <w:sz w:val="24"/>
          <w:szCs w:val="24"/>
        </w:rPr>
        <w:t xml:space="preserve"> 2003;</w:t>
      </w:r>
      <w:r w:rsidR="00F440F7" w:rsidRPr="00FF1DE5">
        <w:rPr>
          <w:rStyle w:val="Bodytext4"/>
          <w:rFonts w:asciiTheme="majorBidi" w:hAnsiTheme="majorBidi" w:cstheme="majorBidi"/>
          <w:sz w:val="24"/>
          <w:szCs w:val="24"/>
        </w:rPr>
        <w:t xml:space="preserve"> </w:t>
      </w:r>
      <w:r w:rsidRPr="00FF1DE5">
        <w:rPr>
          <w:rStyle w:val="Bodytext4"/>
          <w:rFonts w:asciiTheme="majorBidi" w:hAnsiTheme="majorBidi" w:cstheme="majorBidi"/>
          <w:sz w:val="24"/>
          <w:szCs w:val="24"/>
        </w:rPr>
        <w:t>18</w:t>
      </w:r>
      <w:r w:rsidR="004D0377" w:rsidRPr="00FF1DE5">
        <w:rPr>
          <w:rStyle w:val="Bodytext4"/>
          <w:rFonts w:asciiTheme="majorBidi" w:hAnsiTheme="majorBidi" w:cstheme="majorBidi"/>
          <w:sz w:val="24"/>
          <w:szCs w:val="24"/>
        </w:rPr>
        <w:t>(6):</w:t>
      </w:r>
      <w:r w:rsidRPr="00FF1DE5">
        <w:rPr>
          <w:rStyle w:val="Bodytext4"/>
          <w:rFonts w:asciiTheme="majorBidi" w:hAnsiTheme="majorBidi" w:cstheme="majorBidi"/>
          <w:sz w:val="24"/>
          <w:szCs w:val="24"/>
        </w:rPr>
        <w:t>863-</w:t>
      </w:r>
      <w:r w:rsidR="00F440F7" w:rsidRPr="00FF1DE5">
        <w:rPr>
          <w:rStyle w:val="Bodytext4"/>
          <w:rFonts w:asciiTheme="majorBidi" w:hAnsiTheme="majorBidi" w:cstheme="majorBidi"/>
          <w:sz w:val="24"/>
          <w:szCs w:val="24"/>
        </w:rPr>
        <w:t>86</w:t>
      </w:r>
      <w:r w:rsidRPr="00FF1DE5">
        <w:rPr>
          <w:rStyle w:val="Bodytext4"/>
          <w:rFonts w:asciiTheme="majorBidi" w:hAnsiTheme="majorBidi" w:cstheme="majorBidi"/>
          <w:sz w:val="24"/>
          <w:szCs w:val="24"/>
        </w:rPr>
        <w:t>8</w:t>
      </w:r>
      <w:r w:rsidR="004D0377" w:rsidRPr="00FF1DE5">
        <w:rPr>
          <w:rStyle w:val="Bodytext4"/>
          <w:rFonts w:asciiTheme="majorBidi" w:hAnsiTheme="majorBidi" w:cstheme="majorBidi"/>
          <w:sz w:val="24"/>
          <w:szCs w:val="24"/>
        </w:rPr>
        <w:t>.</w:t>
      </w:r>
    </w:p>
    <w:p w:rsidR="00132481" w:rsidRPr="00FF1DE5" w:rsidRDefault="00132481" w:rsidP="00132481">
      <w:pPr>
        <w:pStyle w:val="ListParagraph"/>
        <w:numPr>
          <w:ilvl w:val="0"/>
          <w:numId w:val="11"/>
        </w:numPr>
        <w:shd w:val="clear" w:color="auto" w:fill="FFFFFF"/>
        <w:tabs>
          <w:tab w:val="left" w:pos="0"/>
        </w:tabs>
        <w:autoSpaceDE w:val="0"/>
        <w:autoSpaceDN w:val="0"/>
        <w:adjustRightInd w:val="0"/>
        <w:spacing w:after="0" w:line="480" w:lineRule="auto"/>
        <w:jc w:val="both"/>
        <w:textAlignment w:val="baseline"/>
        <w:rPr>
          <w:rStyle w:val="Bodytext4"/>
          <w:rFonts w:asciiTheme="majorBidi" w:eastAsia="Times New Roman" w:hAnsiTheme="majorBidi" w:cstheme="majorBidi"/>
          <w:sz w:val="24"/>
          <w:szCs w:val="24"/>
          <w:lang w:eastAsia="en-IN"/>
        </w:rPr>
      </w:pPr>
      <w:r w:rsidRPr="00FF1DE5">
        <w:rPr>
          <w:rStyle w:val="Bodytext4"/>
          <w:rFonts w:asciiTheme="majorBidi" w:hAnsiTheme="majorBidi" w:cstheme="majorBidi"/>
          <w:sz w:val="24"/>
          <w:szCs w:val="24"/>
        </w:rPr>
        <w:t>Morley A</w:t>
      </w:r>
      <w:r w:rsidR="004D0377" w:rsidRPr="00FF1DE5">
        <w:rPr>
          <w:rStyle w:val="Bodytext4"/>
          <w:rFonts w:asciiTheme="majorBidi" w:hAnsiTheme="majorBidi" w:cstheme="majorBidi"/>
          <w:sz w:val="24"/>
          <w:szCs w:val="24"/>
        </w:rPr>
        <w:t>P</w:t>
      </w:r>
      <w:r w:rsidRPr="00FF1DE5">
        <w:rPr>
          <w:rStyle w:val="Bodytext4"/>
          <w:rFonts w:asciiTheme="majorBidi" w:hAnsiTheme="majorBidi" w:cstheme="majorBidi"/>
          <w:sz w:val="24"/>
          <w:szCs w:val="24"/>
        </w:rPr>
        <w:t xml:space="preserve">, </w:t>
      </w:r>
      <w:proofErr w:type="spellStart"/>
      <w:r w:rsidRPr="00FF1DE5">
        <w:rPr>
          <w:rStyle w:val="Bodytext4"/>
          <w:rFonts w:asciiTheme="majorBidi" w:hAnsiTheme="majorBidi" w:cstheme="majorBidi"/>
          <w:sz w:val="24"/>
          <w:szCs w:val="24"/>
        </w:rPr>
        <w:t>Papageorgiou</w:t>
      </w:r>
      <w:proofErr w:type="spellEnd"/>
      <w:r w:rsidRPr="00FF1DE5">
        <w:rPr>
          <w:rStyle w:val="Bodytext4"/>
          <w:rFonts w:asciiTheme="majorBidi" w:hAnsiTheme="majorBidi" w:cstheme="majorBidi"/>
          <w:sz w:val="24"/>
          <w:szCs w:val="24"/>
        </w:rPr>
        <w:t xml:space="preserve"> C</w:t>
      </w:r>
      <w:r w:rsidR="004D0377" w:rsidRPr="00FF1DE5">
        <w:rPr>
          <w:rStyle w:val="Bodytext4"/>
          <w:rFonts w:asciiTheme="majorBidi" w:hAnsiTheme="majorBidi" w:cstheme="majorBidi"/>
          <w:sz w:val="24"/>
          <w:szCs w:val="24"/>
        </w:rPr>
        <w:t>H</w:t>
      </w:r>
      <w:r w:rsidRPr="00FF1DE5">
        <w:rPr>
          <w:rStyle w:val="Bodytext4"/>
          <w:rFonts w:asciiTheme="majorBidi" w:hAnsiTheme="majorBidi" w:cstheme="majorBidi"/>
          <w:sz w:val="24"/>
          <w:szCs w:val="24"/>
        </w:rPr>
        <w:t xml:space="preserve">, </w:t>
      </w:r>
      <w:proofErr w:type="spellStart"/>
      <w:r w:rsidRPr="00FF1DE5">
        <w:rPr>
          <w:rStyle w:val="Bodytext4"/>
          <w:rFonts w:asciiTheme="majorBidi" w:hAnsiTheme="majorBidi" w:cstheme="majorBidi"/>
          <w:sz w:val="24"/>
          <w:szCs w:val="24"/>
        </w:rPr>
        <w:t>Marinaki</w:t>
      </w:r>
      <w:proofErr w:type="spellEnd"/>
      <w:r w:rsidRPr="00FF1DE5">
        <w:rPr>
          <w:rStyle w:val="Bodytext4"/>
          <w:rFonts w:asciiTheme="majorBidi" w:hAnsiTheme="majorBidi" w:cstheme="majorBidi"/>
          <w:sz w:val="24"/>
          <w:szCs w:val="24"/>
        </w:rPr>
        <w:t xml:space="preserve"> A</w:t>
      </w:r>
      <w:r w:rsidR="004D0377" w:rsidRPr="00FF1DE5">
        <w:rPr>
          <w:rStyle w:val="Bodytext4"/>
          <w:rFonts w:asciiTheme="majorBidi" w:hAnsiTheme="majorBidi" w:cstheme="majorBidi"/>
          <w:sz w:val="24"/>
          <w:szCs w:val="24"/>
        </w:rPr>
        <w:t>M</w:t>
      </w:r>
      <w:r w:rsidRPr="00FF1DE5">
        <w:rPr>
          <w:rStyle w:val="Bodytext4"/>
          <w:rFonts w:asciiTheme="majorBidi" w:hAnsiTheme="majorBidi" w:cstheme="majorBidi"/>
          <w:sz w:val="24"/>
          <w:szCs w:val="24"/>
        </w:rPr>
        <w:t>, Cooper D</w:t>
      </w:r>
      <w:r w:rsidR="004D0377" w:rsidRPr="00FF1DE5">
        <w:rPr>
          <w:rStyle w:val="Bodytext4"/>
          <w:rFonts w:asciiTheme="majorBidi" w:hAnsiTheme="majorBidi" w:cstheme="majorBidi"/>
          <w:sz w:val="24"/>
          <w:szCs w:val="24"/>
        </w:rPr>
        <w:t>J</w:t>
      </w:r>
      <w:r w:rsidR="00F440F7" w:rsidRPr="00FF1DE5">
        <w:rPr>
          <w:rStyle w:val="Bodytext4"/>
          <w:rFonts w:asciiTheme="majorBidi" w:hAnsiTheme="majorBidi" w:cstheme="majorBidi"/>
          <w:sz w:val="24"/>
          <w:szCs w:val="24"/>
        </w:rPr>
        <w:t xml:space="preserve"> and</w:t>
      </w:r>
      <w:r w:rsidRPr="00FF1DE5">
        <w:rPr>
          <w:rStyle w:val="Bodytext4"/>
          <w:rFonts w:asciiTheme="majorBidi" w:hAnsiTheme="majorBidi" w:cstheme="majorBidi"/>
          <w:sz w:val="24"/>
          <w:szCs w:val="24"/>
        </w:rPr>
        <w:t xml:space="preserve"> Lewis C</w:t>
      </w:r>
      <w:r w:rsidR="004D0377" w:rsidRPr="00FF1DE5">
        <w:rPr>
          <w:rStyle w:val="Bodytext4"/>
          <w:rFonts w:asciiTheme="majorBidi" w:hAnsiTheme="majorBidi" w:cstheme="majorBidi"/>
          <w:sz w:val="24"/>
          <w:szCs w:val="24"/>
        </w:rPr>
        <w:t>M.</w:t>
      </w:r>
      <w:r w:rsidRPr="00FF1DE5">
        <w:rPr>
          <w:rStyle w:val="Bodytext4"/>
          <w:rFonts w:asciiTheme="majorBidi" w:hAnsiTheme="majorBidi" w:cstheme="majorBidi"/>
          <w:sz w:val="24"/>
          <w:szCs w:val="24"/>
        </w:rPr>
        <w:t xml:space="preserve"> The effect of pre</w:t>
      </w:r>
      <w:r w:rsidR="004D0377" w:rsidRPr="00FF1DE5">
        <w:rPr>
          <w:rStyle w:val="Bodytext4"/>
          <w:rFonts w:asciiTheme="majorBidi" w:hAnsiTheme="majorBidi" w:cstheme="majorBidi"/>
          <w:sz w:val="24"/>
          <w:szCs w:val="24"/>
        </w:rPr>
        <w:t>-</w:t>
      </w:r>
      <w:r w:rsidRPr="00FF1DE5">
        <w:rPr>
          <w:rStyle w:val="Bodytext4"/>
          <w:rFonts w:asciiTheme="majorBidi" w:hAnsiTheme="majorBidi" w:cstheme="majorBidi"/>
          <w:sz w:val="24"/>
          <w:szCs w:val="24"/>
        </w:rPr>
        <w:t xml:space="preserve">operative anxiety on induction of </w:t>
      </w:r>
      <w:proofErr w:type="spellStart"/>
      <w:r w:rsidRPr="00FF1DE5">
        <w:rPr>
          <w:rStyle w:val="Bodytext4"/>
          <w:rFonts w:asciiTheme="majorBidi" w:hAnsiTheme="majorBidi" w:cstheme="majorBidi"/>
          <w:sz w:val="24"/>
          <w:szCs w:val="24"/>
        </w:rPr>
        <w:t>anaesthesia</w:t>
      </w:r>
      <w:proofErr w:type="spellEnd"/>
      <w:r w:rsidRPr="00FF1DE5">
        <w:rPr>
          <w:rStyle w:val="Bodytext4"/>
          <w:rFonts w:asciiTheme="majorBidi" w:hAnsiTheme="majorBidi" w:cstheme="majorBidi"/>
          <w:sz w:val="24"/>
          <w:szCs w:val="24"/>
        </w:rPr>
        <w:t xml:space="preserve"> with </w:t>
      </w:r>
      <w:proofErr w:type="spellStart"/>
      <w:r w:rsidRPr="00FF1DE5">
        <w:rPr>
          <w:rStyle w:val="Bodytext4"/>
          <w:rFonts w:asciiTheme="majorBidi" w:hAnsiTheme="majorBidi" w:cstheme="majorBidi"/>
          <w:sz w:val="24"/>
          <w:szCs w:val="24"/>
        </w:rPr>
        <w:t>propofol</w:t>
      </w:r>
      <w:proofErr w:type="spellEnd"/>
      <w:r w:rsidRPr="00FF1DE5">
        <w:rPr>
          <w:rStyle w:val="Bodytext4"/>
          <w:rFonts w:asciiTheme="majorBidi" w:hAnsiTheme="majorBidi" w:cstheme="majorBidi"/>
          <w:sz w:val="24"/>
          <w:szCs w:val="24"/>
        </w:rPr>
        <w:t xml:space="preserve">. </w:t>
      </w:r>
      <w:proofErr w:type="spellStart"/>
      <w:r w:rsidRPr="00FF1DE5">
        <w:rPr>
          <w:rStyle w:val="Bodytext4"/>
          <w:rFonts w:asciiTheme="majorBidi" w:hAnsiTheme="majorBidi" w:cstheme="majorBidi"/>
          <w:sz w:val="24"/>
          <w:szCs w:val="24"/>
        </w:rPr>
        <w:t>Anaesthesia</w:t>
      </w:r>
      <w:proofErr w:type="spellEnd"/>
      <w:r w:rsidRPr="00FF1DE5">
        <w:rPr>
          <w:rStyle w:val="Bodytext4"/>
          <w:rFonts w:asciiTheme="majorBidi" w:hAnsiTheme="majorBidi" w:cstheme="majorBidi"/>
          <w:sz w:val="24"/>
          <w:szCs w:val="24"/>
        </w:rPr>
        <w:t xml:space="preserve"> 2008;</w:t>
      </w:r>
      <w:r w:rsidR="00F440F7" w:rsidRPr="00FF1DE5">
        <w:rPr>
          <w:rStyle w:val="Bodytext4"/>
          <w:rFonts w:asciiTheme="majorBidi" w:hAnsiTheme="majorBidi" w:cstheme="majorBidi"/>
          <w:sz w:val="24"/>
          <w:szCs w:val="24"/>
        </w:rPr>
        <w:t xml:space="preserve"> </w:t>
      </w:r>
      <w:r w:rsidRPr="00FF1DE5">
        <w:rPr>
          <w:rStyle w:val="Bodytext4"/>
          <w:rFonts w:asciiTheme="majorBidi" w:hAnsiTheme="majorBidi" w:cstheme="majorBidi"/>
          <w:sz w:val="24"/>
          <w:szCs w:val="24"/>
        </w:rPr>
        <w:t>63</w:t>
      </w:r>
      <w:r w:rsidR="004D0377" w:rsidRPr="00FF1DE5">
        <w:rPr>
          <w:rStyle w:val="Bodytext4"/>
          <w:rFonts w:asciiTheme="majorBidi" w:hAnsiTheme="majorBidi" w:cstheme="majorBidi"/>
          <w:sz w:val="24"/>
          <w:szCs w:val="24"/>
        </w:rPr>
        <w:t>(5)</w:t>
      </w:r>
      <w:r w:rsidRPr="00FF1DE5">
        <w:rPr>
          <w:rStyle w:val="Bodytext4"/>
          <w:rFonts w:asciiTheme="majorBidi" w:hAnsiTheme="majorBidi" w:cstheme="majorBidi"/>
          <w:sz w:val="24"/>
          <w:szCs w:val="24"/>
        </w:rPr>
        <w:t>:467-</w:t>
      </w:r>
      <w:r w:rsidR="00F440F7" w:rsidRPr="00FF1DE5">
        <w:rPr>
          <w:rStyle w:val="Bodytext4"/>
          <w:rFonts w:asciiTheme="majorBidi" w:hAnsiTheme="majorBidi" w:cstheme="majorBidi"/>
          <w:sz w:val="24"/>
          <w:szCs w:val="24"/>
        </w:rPr>
        <w:t>4</w:t>
      </w:r>
      <w:r w:rsidRPr="00FF1DE5">
        <w:rPr>
          <w:rStyle w:val="Bodytext4"/>
          <w:rFonts w:asciiTheme="majorBidi" w:hAnsiTheme="majorBidi" w:cstheme="majorBidi"/>
          <w:sz w:val="24"/>
          <w:szCs w:val="24"/>
        </w:rPr>
        <w:t>73</w:t>
      </w:r>
      <w:r w:rsidR="004D0377" w:rsidRPr="00FF1DE5">
        <w:rPr>
          <w:rStyle w:val="Bodytext4"/>
          <w:rFonts w:asciiTheme="majorBidi" w:hAnsiTheme="majorBidi" w:cstheme="majorBidi"/>
          <w:sz w:val="24"/>
          <w:szCs w:val="24"/>
        </w:rPr>
        <w:t>.</w:t>
      </w:r>
    </w:p>
    <w:p w:rsidR="00132481" w:rsidRPr="00FF1DE5" w:rsidRDefault="00132481" w:rsidP="00132481">
      <w:pPr>
        <w:pStyle w:val="ListParagraph"/>
        <w:numPr>
          <w:ilvl w:val="0"/>
          <w:numId w:val="11"/>
        </w:numPr>
        <w:shd w:val="clear" w:color="auto" w:fill="FFFFFF"/>
        <w:tabs>
          <w:tab w:val="left" w:pos="0"/>
        </w:tabs>
        <w:autoSpaceDE w:val="0"/>
        <w:autoSpaceDN w:val="0"/>
        <w:adjustRightInd w:val="0"/>
        <w:spacing w:after="0" w:line="480" w:lineRule="auto"/>
        <w:jc w:val="both"/>
        <w:textAlignment w:val="baseline"/>
        <w:rPr>
          <w:rFonts w:asciiTheme="majorBidi" w:eastAsia="Times New Roman" w:hAnsiTheme="majorBidi" w:cstheme="majorBidi"/>
          <w:sz w:val="24"/>
          <w:szCs w:val="24"/>
          <w:lang w:eastAsia="en-IN"/>
        </w:rPr>
      </w:pPr>
      <w:r w:rsidRPr="00FF1DE5">
        <w:rPr>
          <w:rFonts w:asciiTheme="majorBidi" w:eastAsia="Times New Roman" w:hAnsiTheme="majorBidi" w:cstheme="majorBidi"/>
          <w:sz w:val="24"/>
          <w:szCs w:val="24"/>
          <w:lang w:eastAsia="en-IN"/>
        </w:rPr>
        <w:lastRenderedPageBreak/>
        <w:t xml:space="preserve">Gras S, </w:t>
      </w:r>
      <w:proofErr w:type="spellStart"/>
      <w:r w:rsidRPr="00FF1DE5">
        <w:rPr>
          <w:rFonts w:asciiTheme="majorBidi" w:eastAsia="Times New Roman" w:hAnsiTheme="majorBidi" w:cstheme="majorBidi"/>
          <w:sz w:val="24"/>
          <w:szCs w:val="24"/>
          <w:lang w:eastAsia="en-IN"/>
        </w:rPr>
        <w:t>Servin</w:t>
      </w:r>
      <w:proofErr w:type="spellEnd"/>
      <w:r w:rsidRPr="00FF1DE5">
        <w:rPr>
          <w:rFonts w:asciiTheme="majorBidi" w:eastAsia="Times New Roman" w:hAnsiTheme="majorBidi" w:cstheme="majorBidi"/>
          <w:sz w:val="24"/>
          <w:szCs w:val="24"/>
          <w:lang w:eastAsia="en-IN"/>
        </w:rPr>
        <w:t xml:space="preserve"> F,</w:t>
      </w:r>
      <w:r w:rsidR="004D0377" w:rsidRPr="00FF1DE5">
        <w:rPr>
          <w:rFonts w:asciiTheme="majorBidi" w:eastAsia="Times New Roman" w:hAnsiTheme="majorBidi" w:cstheme="majorBidi"/>
          <w:sz w:val="24"/>
          <w:szCs w:val="24"/>
          <w:lang w:eastAsia="en-IN"/>
        </w:rPr>
        <w:t xml:space="preserve"> </w:t>
      </w:r>
      <w:proofErr w:type="spellStart"/>
      <w:r w:rsidRPr="00FF1DE5">
        <w:rPr>
          <w:rFonts w:asciiTheme="majorBidi" w:eastAsia="Times New Roman" w:hAnsiTheme="majorBidi" w:cstheme="majorBidi"/>
          <w:sz w:val="24"/>
          <w:szCs w:val="24"/>
          <w:lang w:eastAsia="en-IN"/>
        </w:rPr>
        <w:t>Bedairia</w:t>
      </w:r>
      <w:proofErr w:type="spellEnd"/>
      <w:r w:rsidRPr="00FF1DE5">
        <w:rPr>
          <w:rFonts w:asciiTheme="majorBidi" w:eastAsia="Times New Roman" w:hAnsiTheme="majorBidi" w:cstheme="majorBidi"/>
          <w:sz w:val="24"/>
          <w:szCs w:val="24"/>
          <w:lang w:eastAsia="en-IN"/>
        </w:rPr>
        <w:t xml:space="preserve"> E, </w:t>
      </w:r>
      <w:proofErr w:type="spellStart"/>
      <w:r w:rsidRPr="00FF1DE5">
        <w:rPr>
          <w:rFonts w:asciiTheme="majorBidi" w:eastAsia="Times New Roman" w:hAnsiTheme="majorBidi" w:cstheme="majorBidi"/>
          <w:sz w:val="24"/>
          <w:szCs w:val="24"/>
          <w:lang w:eastAsia="en-IN"/>
        </w:rPr>
        <w:t>Mont</w:t>
      </w:r>
      <w:r w:rsidR="004D0377" w:rsidRPr="00FF1DE5">
        <w:rPr>
          <w:rFonts w:asciiTheme="majorBidi" w:eastAsia="Times New Roman" w:hAnsiTheme="majorBidi" w:cstheme="majorBidi"/>
          <w:sz w:val="24"/>
          <w:szCs w:val="24"/>
          <w:lang w:eastAsia="en-IN"/>
        </w:rPr>
        <w:t>ravers</w:t>
      </w:r>
      <w:proofErr w:type="spellEnd"/>
      <w:r w:rsidR="004D0377" w:rsidRPr="00FF1DE5">
        <w:rPr>
          <w:rFonts w:asciiTheme="majorBidi" w:eastAsia="Times New Roman" w:hAnsiTheme="majorBidi" w:cstheme="majorBidi"/>
          <w:sz w:val="24"/>
          <w:szCs w:val="24"/>
          <w:lang w:eastAsia="en-IN"/>
        </w:rPr>
        <w:t xml:space="preserve"> P, </w:t>
      </w:r>
      <w:proofErr w:type="spellStart"/>
      <w:r w:rsidR="004D0377" w:rsidRPr="00FF1DE5">
        <w:rPr>
          <w:rFonts w:asciiTheme="majorBidi" w:eastAsia="Times New Roman" w:hAnsiTheme="majorBidi" w:cstheme="majorBidi"/>
          <w:sz w:val="24"/>
          <w:szCs w:val="24"/>
          <w:lang w:eastAsia="en-IN"/>
        </w:rPr>
        <w:t>Desmont</w:t>
      </w:r>
      <w:r w:rsidRPr="00FF1DE5">
        <w:rPr>
          <w:rFonts w:asciiTheme="majorBidi" w:eastAsia="Times New Roman" w:hAnsiTheme="majorBidi" w:cstheme="majorBidi"/>
          <w:sz w:val="24"/>
          <w:szCs w:val="24"/>
          <w:lang w:eastAsia="en-IN"/>
        </w:rPr>
        <w:t>s</w:t>
      </w:r>
      <w:proofErr w:type="spellEnd"/>
      <w:r w:rsidRPr="00FF1DE5">
        <w:rPr>
          <w:rFonts w:asciiTheme="majorBidi" w:eastAsia="Times New Roman" w:hAnsiTheme="majorBidi" w:cstheme="majorBidi"/>
          <w:sz w:val="24"/>
          <w:szCs w:val="24"/>
          <w:lang w:eastAsia="en-IN"/>
        </w:rPr>
        <w:t xml:space="preserve"> J</w:t>
      </w:r>
      <w:r w:rsidR="004D0377" w:rsidRPr="00FF1DE5">
        <w:rPr>
          <w:rFonts w:asciiTheme="majorBidi" w:eastAsia="Times New Roman" w:hAnsiTheme="majorBidi" w:cstheme="majorBidi"/>
          <w:sz w:val="24"/>
          <w:szCs w:val="24"/>
          <w:lang w:eastAsia="en-IN"/>
        </w:rPr>
        <w:t xml:space="preserve">M, </w:t>
      </w:r>
      <w:proofErr w:type="spellStart"/>
      <w:r w:rsidR="004D0377" w:rsidRPr="00FF1DE5">
        <w:rPr>
          <w:rFonts w:asciiTheme="majorBidi" w:eastAsia="Times New Roman" w:hAnsiTheme="majorBidi" w:cstheme="majorBidi"/>
          <w:sz w:val="24"/>
          <w:szCs w:val="24"/>
          <w:lang w:eastAsia="en-IN"/>
        </w:rPr>
        <w:t>Longrois</w:t>
      </w:r>
      <w:proofErr w:type="spellEnd"/>
      <w:r w:rsidR="004D0377" w:rsidRPr="00FF1DE5">
        <w:rPr>
          <w:rFonts w:asciiTheme="majorBidi" w:eastAsia="Times New Roman" w:hAnsiTheme="majorBidi" w:cstheme="majorBidi"/>
          <w:sz w:val="24"/>
          <w:szCs w:val="24"/>
          <w:lang w:eastAsia="en-IN"/>
        </w:rPr>
        <w:t xml:space="preserve"> D, et al.</w:t>
      </w:r>
      <w:r w:rsidRPr="00FF1DE5">
        <w:rPr>
          <w:rFonts w:asciiTheme="majorBidi" w:eastAsia="Times New Roman" w:hAnsiTheme="majorBidi" w:cstheme="majorBidi"/>
          <w:sz w:val="24"/>
          <w:szCs w:val="24"/>
          <w:lang w:eastAsia="en-IN"/>
        </w:rPr>
        <w:t xml:space="preserve"> The effect of preoperative Heart ra</w:t>
      </w:r>
      <w:r w:rsidR="004D0377" w:rsidRPr="00FF1DE5">
        <w:rPr>
          <w:rFonts w:asciiTheme="majorBidi" w:eastAsia="Times New Roman" w:hAnsiTheme="majorBidi" w:cstheme="majorBidi"/>
          <w:sz w:val="24"/>
          <w:szCs w:val="24"/>
          <w:lang w:eastAsia="en-IN"/>
        </w:rPr>
        <w:t xml:space="preserve">te and anxiety on the </w:t>
      </w:r>
      <w:proofErr w:type="spellStart"/>
      <w:r w:rsidR="004D0377" w:rsidRPr="00FF1DE5">
        <w:rPr>
          <w:rFonts w:asciiTheme="majorBidi" w:eastAsia="Times New Roman" w:hAnsiTheme="majorBidi" w:cstheme="majorBidi"/>
          <w:sz w:val="24"/>
          <w:szCs w:val="24"/>
          <w:lang w:eastAsia="en-IN"/>
        </w:rPr>
        <w:t>propofol</w:t>
      </w:r>
      <w:proofErr w:type="spellEnd"/>
      <w:r w:rsidR="004D0377" w:rsidRPr="00FF1DE5">
        <w:rPr>
          <w:rFonts w:asciiTheme="majorBidi" w:eastAsia="Times New Roman" w:hAnsiTheme="majorBidi" w:cstheme="majorBidi"/>
          <w:sz w:val="24"/>
          <w:szCs w:val="24"/>
          <w:lang w:eastAsia="en-IN"/>
        </w:rPr>
        <w:t xml:space="preserve"> d</w:t>
      </w:r>
      <w:r w:rsidRPr="00FF1DE5">
        <w:rPr>
          <w:rFonts w:asciiTheme="majorBidi" w:eastAsia="Times New Roman" w:hAnsiTheme="majorBidi" w:cstheme="majorBidi"/>
          <w:sz w:val="24"/>
          <w:szCs w:val="24"/>
          <w:lang w:eastAsia="en-IN"/>
        </w:rPr>
        <w:t>ose required for loss of co</w:t>
      </w:r>
      <w:r w:rsidR="00AB44E0" w:rsidRPr="00FF1DE5">
        <w:rPr>
          <w:rFonts w:asciiTheme="majorBidi" w:eastAsia="Times New Roman" w:hAnsiTheme="majorBidi" w:cstheme="majorBidi"/>
          <w:sz w:val="24"/>
          <w:szCs w:val="24"/>
          <w:lang w:eastAsia="en-IN"/>
        </w:rPr>
        <w:t xml:space="preserve">nsciousness. </w:t>
      </w:r>
      <w:proofErr w:type="spellStart"/>
      <w:r w:rsidR="00AB44E0" w:rsidRPr="00FF1DE5">
        <w:rPr>
          <w:rFonts w:asciiTheme="majorBidi" w:eastAsia="Times New Roman" w:hAnsiTheme="majorBidi" w:cstheme="majorBidi"/>
          <w:sz w:val="24"/>
          <w:szCs w:val="24"/>
          <w:lang w:eastAsia="en-IN"/>
        </w:rPr>
        <w:t>Anesth</w:t>
      </w:r>
      <w:proofErr w:type="spellEnd"/>
      <w:r w:rsidR="00AB44E0" w:rsidRPr="00FF1DE5">
        <w:rPr>
          <w:rFonts w:asciiTheme="majorBidi" w:eastAsia="Times New Roman" w:hAnsiTheme="majorBidi" w:cstheme="majorBidi"/>
          <w:sz w:val="24"/>
          <w:szCs w:val="24"/>
          <w:lang w:eastAsia="en-IN"/>
        </w:rPr>
        <w:t xml:space="preserve"> </w:t>
      </w:r>
      <w:proofErr w:type="spellStart"/>
      <w:r w:rsidR="00AB44E0" w:rsidRPr="00FF1DE5">
        <w:rPr>
          <w:rFonts w:asciiTheme="majorBidi" w:eastAsia="Times New Roman" w:hAnsiTheme="majorBidi" w:cstheme="majorBidi"/>
          <w:sz w:val="24"/>
          <w:szCs w:val="24"/>
          <w:lang w:eastAsia="en-IN"/>
        </w:rPr>
        <w:t>Analg</w:t>
      </w:r>
      <w:proofErr w:type="spellEnd"/>
      <w:r w:rsidR="00AB44E0" w:rsidRPr="00FF1DE5">
        <w:rPr>
          <w:rFonts w:asciiTheme="majorBidi" w:eastAsia="Times New Roman" w:hAnsiTheme="majorBidi" w:cstheme="majorBidi"/>
          <w:sz w:val="24"/>
          <w:szCs w:val="24"/>
          <w:lang w:eastAsia="en-IN"/>
        </w:rPr>
        <w:t xml:space="preserve"> 2010;</w:t>
      </w:r>
      <w:r w:rsidR="00F440F7" w:rsidRPr="00FF1DE5">
        <w:rPr>
          <w:rFonts w:asciiTheme="majorBidi" w:eastAsia="Times New Roman" w:hAnsiTheme="majorBidi" w:cstheme="majorBidi"/>
          <w:sz w:val="24"/>
          <w:szCs w:val="24"/>
          <w:lang w:eastAsia="en-IN"/>
        </w:rPr>
        <w:t xml:space="preserve"> </w:t>
      </w:r>
      <w:r w:rsidR="00AB44E0" w:rsidRPr="00FF1DE5">
        <w:rPr>
          <w:rFonts w:asciiTheme="majorBidi" w:eastAsia="Times New Roman" w:hAnsiTheme="majorBidi" w:cstheme="majorBidi"/>
          <w:sz w:val="24"/>
          <w:szCs w:val="24"/>
          <w:lang w:eastAsia="en-IN"/>
        </w:rPr>
        <w:t>110(1):</w:t>
      </w:r>
      <w:r w:rsidRPr="00FF1DE5">
        <w:rPr>
          <w:rFonts w:asciiTheme="majorBidi" w:eastAsia="Times New Roman" w:hAnsiTheme="majorBidi" w:cstheme="majorBidi"/>
          <w:sz w:val="24"/>
          <w:szCs w:val="24"/>
          <w:lang w:eastAsia="en-IN"/>
        </w:rPr>
        <w:t>89-93</w:t>
      </w:r>
      <w:r w:rsidR="00AB44E0" w:rsidRPr="00FF1DE5">
        <w:rPr>
          <w:rFonts w:asciiTheme="majorBidi" w:eastAsia="Times New Roman" w:hAnsiTheme="majorBidi" w:cstheme="majorBidi"/>
          <w:sz w:val="24"/>
          <w:szCs w:val="24"/>
          <w:lang w:eastAsia="en-IN"/>
        </w:rPr>
        <w:t>.</w:t>
      </w:r>
    </w:p>
    <w:p w:rsidR="00132481" w:rsidRPr="00FF1DE5" w:rsidRDefault="00132481" w:rsidP="00132481">
      <w:pPr>
        <w:numPr>
          <w:ilvl w:val="0"/>
          <w:numId w:val="11"/>
        </w:numPr>
        <w:tabs>
          <w:tab w:val="left" w:pos="222"/>
        </w:tabs>
        <w:spacing w:after="0" w:line="480" w:lineRule="auto"/>
        <w:ind w:right="20"/>
        <w:jc w:val="both"/>
        <w:rPr>
          <w:rFonts w:asciiTheme="majorBidi" w:hAnsiTheme="majorBidi" w:cstheme="majorBidi"/>
          <w:sz w:val="24"/>
          <w:szCs w:val="24"/>
        </w:rPr>
      </w:pPr>
      <w:proofErr w:type="spellStart"/>
      <w:r w:rsidRPr="00FF1DE5">
        <w:rPr>
          <w:rStyle w:val="Bodytext4"/>
          <w:rFonts w:asciiTheme="majorBidi" w:hAnsiTheme="majorBidi" w:cstheme="majorBidi"/>
          <w:sz w:val="24"/>
          <w:szCs w:val="24"/>
        </w:rPr>
        <w:t>Piccirillo</w:t>
      </w:r>
      <w:proofErr w:type="spellEnd"/>
      <w:r w:rsidRPr="00FF1DE5">
        <w:rPr>
          <w:rStyle w:val="Bodytext4"/>
          <w:rFonts w:asciiTheme="majorBidi" w:hAnsiTheme="majorBidi" w:cstheme="majorBidi"/>
          <w:sz w:val="24"/>
          <w:szCs w:val="24"/>
        </w:rPr>
        <w:t xml:space="preserve"> G, Elvira S, </w:t>
      </w:r>
      <w:proofErr w:type="spellStart"/>
      <w:r w:rsidRPr="00FF1DE5">
        <w:rPr>
          <w:rStyle w:val="Bodytext4"/>
          <w:rFonts w:asciiTheme="majorBidi" w:hAnsiTheme="majorBidi" w:cstheme="majorBidi"/>
          <w:sz w:val="24"/>
          <w:szCs w:val="24"/>
        </w:rPr>
        <w:t>Bucca</w:t>
      </w:r>
      <w:proofErr w:type="spellEnd"/>
      <w:r w:rsidRPr="00FF1DE5">
        <w:rPr>
          <w:rStyle w:val="Bodytext4"/>
          <w:rFonts w:asciiTheme="majorBidi" w:hAnsiTheme="majorBidi" w:cstheme="majorBidi"/>
          <w:sz w:val="24"/>
          <w:szCs w:val="24"/>
        </w:rPr>
        <w:t xml:space="preserve"> C, Viola</w:t>
      </w:r>
      <w:r w:rsidR="00F440F7" w:rsidRPr="00FF1DE5">
        <w:rPr>
          <w:rStyle w:val="Bodytext4"/>
          <w:rFonts w:asciiTheme="majorBidi" w:hAnsiTheme="majorBidi" w:cstheme="majorBidi"/>
          <w:sz w:val="24"/>
          <w:szCs w:val="24"/>
        </w:rPr>
        <w:t xml:space="preserve"> E, </w:t>
      </w:r>
      <w:proofErr w:type="spellStart"/>
      <w:r w:rsidR="00F440F7" w:rsidRPr="00FF1DE5">
        <w:rPr>
          <w:rStyle w:val="Bodytext4"/>
          <w:rFonts w:asciiTheme="majorBidi" w:hAnsiTheme="majorBidi" w:cstheme="majorBidi"/>
          <w:sz w:val="24"/>
          <w:szCs w:val="24"/>
        </w:rPr>
        <w:t>Cacciafesta</w:t>
      </w:r>
      <w:proofErr w:type="spellEnd"/>
      <w:r w:rsidR="00F440F7" w:rsidRPr="00FF1DE5">
        <w:rPr>
          <w:rStyle w:val="Bodytext4"/>
          <w:rFonts w:asciiTheme="majorBidi" w:hAnsiTheme="majorBidi" w:cstheme="majorBidi"/>
          <w:sz w:val="24"/>
          <w:szCs w:val="24"/>
        </w:rPr>
        <w:t xml:space="preserve"> M and</w:t>
      </w:r>
      <w:r w:rsidR="00AB44E0" w:rsidRPr="00FF1DE5">
        <w:rPr>
          <w:rStyle w:val="Bodytext4"/>
          <w:rFonts w:asciiTheme="majorBidi" w:hAnsiTheme="majorBidi" w:cstheme="majorBidi"/>
          <w:sz w:val="24"/>
          <w:szCs w:val="24"/>
        </w:rPr>
        <w:t xml:space="preserve"> </w:t>
      </w:r>
      <w:proofErr w:type="spellStart"/>
      <w:r w:rsidR="00AB44E0" w:rsidRPr="00FF1DE5">
        <w:rPr>
          <w:rStyle w:val="Bodytext4"/>
          <w:rFonts w:asciiTheme="majorBidi" w:hAnsiTheme="majorBidi" w:cstheme="majorBidi"/>
          <w:sz w:val="24"/>
          <w:szCs w:val="24"/>
        </w:rPr>
        <w:t>Marigliano</w:t>
      </w:r>
      <w:proofErr w:type="spellEnd"/>
      <w:r w:rsidR="00AB44E0" w:rsidRPr="00FF1DE5">
        <w:rPr>
          <w:rStyle w:val="Bodytext4"/>
          <w:rFonts w:asciiTheme="majorBidi" w:hAnsiTheme="majorBidi" w:cstheme="majorBidi"/>
          <w:sz w:val="24"/>
          <w:szCs w:val="24"/>
        </w:rPr>
        <w:t xml:space="preserve"> V.</w:t>
      </w:r>
      <w:r w:rsidRPr="00FF1DE5">
        <w:rPr>
          <w:rStyle w:val="Bodytext4"/>
          <w:rFonts w:asciiTheme="majorBidi" w:hAnsiTheme="majorBidi" w:cstheme="majorBidi"/>
          <w:sz w:val="24"/>
          <w:szCs w:val="24"/>
        </w:rPr>
        <w:t xml:space="preserve"> Abnormal passive head-up tilt test in subjects with symptoms of anxiety power spectral analysis study of heart rate and blood pressure. </w:t>
      </w:r>
      <w:proofErr w:type="spellStart"/>
      <w:r w:rsidRPr="00FF1DE5">
        <w:rPr>
          <w:rStyle w:val="Bodytext4"/>
          <w:rFonts w:asciiTheme="majorBidi" w:hAnsiTheme="majorBidi" w:cstheme="majorBidi"/>
          <w:sz w:val="24"/>
          <w:szCs w:val="24"/>
        </w:rPr>
        <w:t>Int</w:t>
      </w:r>
      <w:proofErr w:type="spellEnd"/>
      <w:r w:rsidRPr="00FF1DE5">
        <w:rPr>
          <w:rStyle w:val="Bodytext4"/>
          <w:rFonts w:asciiTheme="majorBidi" w:hAnsiTheme="majorBidi" w:cstheme="majorBidi"/>
          <w:sz w:val="24"/>
          <w:szCs w:val="24"/>
        </w:rPr>
        <w:t xml:space="preserve"> J </w:t>
      </w:r>
      <w:proofErr w:type="spellStart"/>
      <w:r w:rsidRPr="00FF1DE5">
        <w:rPr>
          <w:rStyle w:val="Bodytext4"/>
          <w:rFonts w:asciiTheme="majorBidi" w:hAnsiTheme="majorBidi" w:cstheme="majorBidi"/>
          <w:sz w:val="24"/>
          <w:szCs w:val="24"/>
        </w:rPr>
        <w:t>Cardiol</w:t>
      </w:r>
      <w:proofErr w:type="spellEnd"/>
      <w:r w:rsidRPr="00FF1DE5">
        <w:rPr>
          <w:rStyle w:val="Bodytext4"/>
          <w:rFonts w:asciiTheme="majorBidi" w:hAnsiTheme="majorBidi" w:cstheme="majorBidi"/>
          <w:sz w:val="24"/>
          <w:szCs w:val="24"/>
        </w:rPr>
        <w:t xml:space="preserve"> 1997;</w:t>
      </w:r>
      <w:r w:rsidR="00F440F7" w:rsidRPr="00FF1DE5">
        <w:rPr>
          <w:rStyle w:val="Bodytext4"/>
          <w:rFonts w:asciiTheme="majorBidi" w:hAnsiTheme="majorBidi" w:cstheme="majorBidi"/>
          <w:sz w:val="24"/>
          <w:szCs w:val="24"/>
        </w:rPr>
        <w:t xml:space="preserve"> </w:t>
      </w:r>
      <w:r w:rsidRPr="00FF1DE5">
        <w:rPr>
          <w:rStyle w:val="Bodytext4"/>
          <w:rFonts w:asciiTheme="majorBidi" w:hAnsiTheme="majorBidi" w:cstheme="majorBidi"/>
          <w:sz w:val="24"/>
          <w:szCs w:val="24"/>
        </w:rPr>
        <w:t>60</w:t>
      </w:r>
      <w:r w:rsidR="00AB44E0" w:rsidRPr="00FF1DE5">
        <w:rPr>
          <w:rStyle w:val="Bodytext4"/>
          <w:rFonts w:asciiTheme="majorBidi" w:hAnsiTheme="majorBidi" w:cstheme="majorBidi"/>
          <w:sz w:val="24"/>
          <w:szCs w:val="24"/>
        </w:rPr>
        <w:t>(2)</w:t>
      </w:r>
      <w:r w:rsidRPr="00FF1DE5">
        <w:rPr>
          <w:rStyle w:val="Bodytext4"/>
          <w:rFonts w:asciiTheme="majorBidi" w:hAnsiTheme="majorBidi" w:cstheme="majorBidi"/>
          <w:sz w:val="24"/>
          <w:szCs w:val="24"/>
        </w:rPr>
        <w:t>:121-</w:t>
      </w:r>
      <w:r w:rsidR="00F440F7" w:rsidRPr="00FF1DE5">
        <w:rPr>
          <w:rStyle w:val="Bodytext4"/>
          <w:rFonts w:asciiTheme="majorBidi" w:hAnsiTheme="majorBidi" w:cstheme="majorBidi"/>
          <w:sz w:val="24"/>
          <w:szCs w:val="24"/>
        </w:rPr>
        <w:t>1</w:t>
      </w:r>
      <w:r w:rsidRPr="00FF1DE5">
        <w:rPr>
          <w:rStyle w:val="Bodytext4"/>
          <w:rFonts w:asciiTheme="majorBidi" w:hAnsiTheme="majorBidi" w:cstheme="majorBidi"/>
          <w:sz w:val="24"/>
          <w:szCs w:val="24"/>
        </w:rPr>
        <w:t>31</w:t>
      </w:r>
      <w:r w:rsidR="00AB44E0" w:rsidRPr="00FF1DE5">
        <w:rPr>
          <w:rStyle w:val="Bodytext4"/>
          <w:rFonts w:asciiTheme="majorBidi" w:hAnsiTheme="majorBidi" w:cstheme="majorBidi"/>
          <w:sz w:val="24"/>
          <w:szCs w:val="24"/>
        </w:rPr>
        <w:t>.</w:t>
      </w:r>
    </w:p>
    <w:p w:rsidR="00132481" w:rsidRPr="00FF1DE5" w:rsidRDefault="00F440F7" w:rsidP="00132481">
      <w:pPr>
        <w:numPr>
          <w:ilvl w:val="0"/>
          <w:numId w:val="11"/>
        </w:numPr>
        <w:tabs>
          <w:tab w:val="left" w:pos="217"/>
        </w:tabs>
        <w:spacing w:after="0" w:line="480" w:lineRule="auto"/>
        <w:ind w:right="20"/>
        <w:jc w:val="both"/>
        <w:rPr>
          <w:rFonts w:asciiTheme="majorBidi" w:hAnsiTheme="majorBidi" w:cstheme="majorBidi"/>
          <w:sz w:val="24"/>
          <w:szCs w:val="24"/>
        </w:rPr>
      </w:pPr>
      <w:proofErr w:type="spellStart"/>
      <w:r w:rsidRPr="00FF1DE5">
        <w:rPr>
          <w:rStyle w:val="Bodytext4"/>
          <w:rFonts w:asciiTheme="majorBidi" w:hAnsiTheme="majorBidi" w:cstheme="majorBidi"/>
          <w:sz w:val="24"/>
          <w:szCs w:val="24"/>
        </w:rPr>
        <w:t>Tenenbaum</w:t>
      </w:r>
      <w:proofErr w:type="spellEnd"/>
      <w:r w:rsidRPr="00FF1DE5">
        <w:rPr>
          <w:rStyle w:val="Bodytext4"/>
          <w:rFonts w:asciiTheme="majorBidi" w:hAnsiTheme="majorBidi" w:cstheme="majorBidi"/>
          <w:sz w:val="24"/>
          <w:szCs w:val="24"/>
        </w:rPr>
        <w:t xml:space="preserve"> G and</w:t>
      </w:r>
      <w:r w:rsidR="00AB44E0" w:rsidRPr="00FF1DE5">
        <w:rPr>
          <w:rStyle w:val="Bodytext4"/>
          <w:rFonts w:asciiTheme="majorBidi" w:hAnsiTheme="majorBidi" w:cstheme="majorBidi"/>
          <w:sz w:val="24"/>
          <w:szCs w:val="24"/>
        </w:rPr>
        <w:t xml:space="preserve"> </w:t>
      </w:r>
      <w:proofErr w:type="spellStart"/>
      <w:r w:rsidR="00AB44E0" w:rsidRPr="00FF1DE5">
        <w:rPr>
          <w:rStyle w:val="Bodytext4"/>
          <w:rFonts w:asciiTheme="majorBidi" w:hAnsiTheme="majorBidi" w:cstheme="majorBidi"/>
          <w:sz w:val="24"/>
          <w:szCs w:val="24"/>
        </w:rPr>
        <w:t>Milgram</w:t>
      </w:r>
      <w:proofErr w:type="spellEnd"/>
      <w:r w:rsidR="00AB44E0" w:rsidRPr="00FF1DE5">
        <w:rPr>
          <w:rStyle w:val="Bodytext4"/>
          <w:rFonts w:asciiTheme="majorBidi" w:hAnsiTheme="majorBidi" w:cstheme="majorBidi"/>
          <w:sz w:val="24"/>
          <w:szCs w:val="24"/>
        </w:rPr>
        <w:t xml:space="preserve"> RM.</w:t>
      </w:r>
      <w:r w:rsidR="00132481" w:rsidRPr="00FF1DE5">
        <w:rPr>
          <w:rStyle w:val="Bodytext4"/>
          <w:rFonts w:asciiTheme="majorBidi" w:hAnsiTheme="majorBidi" w:cstheme="majorBidi"/>
          <w:sz w:val="24"/>
          <w:szCs w:val="24"/>
        </w:rPr>
        <w:t xml:space="preserve"> Trait and state anxiety in Israeli student athletes. J </w:t>
      </w:r>
      <w:proofErr w:type="spellStart"/>
      <w:r w:rsidR="00132481" w:rsidRPr="00FF1DE5">
        <w:rPr>
          <w:rStyle w:val="Bodytext4"/>
          <w:rFonts w:asciiTheme="majorBidi" w:hAnsiTheme="majorBidi" w:cstheme="majorBidi"/>
          <w:sz w:val="24"/>
          <w:szCs w:val="24"/>
        </w:rPr>
        <w:t>Clin</w:t>
      </w:r>
      <w:proofErr w:type="spellEnd"/>
      <w:r w:rsidR="00132481" w:rsidRPr="00FF1DE5">
        <w:rPr>
          <w:rStyle w:val="Bodytext4"/>
          <w:rFonts w:asciiTheme="majorBidi" w:hAnsiTheme="majorBidi" w:cstheme="majorBidi"/>
          <w:sz w:val="24"/>
          <w:szCs w:val="24"/>
        </w:rPr>
        <w:t xml:space="preserve"> </w:t>
      </w:r>
      <w:proofErr w:type="spellStart"/>
      <w:r w:rsidR="00132481" w:rsidRPr="00FF1DE5">
        <w:rPr>
          <w:rStyle w:val="Bodytext4"/>
          <w:rFonts w:asciiTheme="majorBidi" w:hAnsiTheme="majorBidi" w:cstheme="majorBidi"/>
          <w:sz w:val="24"/>
          <w:szCs w:val="24"/>
        </w:rPr>
        <w:t>Psychol</w:t>
      </w:r>
      <w:proofErr w:type="spellEnd"/>
      <w:r w:rsidR="00132481" w:rsidRPr="00FF1DE5">
        <w:rPr>
          <w:rStyle w:val="Bodytext4"/>
          <w:rFonts w:asciiTheme="majorBidi" w:hAnsiTheme="majorBidi" w:cstheme="majorBidi"/>
          <w:sz w:val="24"/>
          <w:szCs w:val="24"/>
        </w:rPr>
        <w:t xml:space="preserve"> 1978;</w:t>
      </w:r>
      <w:r w:rsidRPr="00FF1DE5">
        <w:rPr>
          <w:rStyle w:val="Bodytext4"/>
          <w:rFonts w:asciiTheme="majorBidi" w:hAnsiTheme="majorBidi" w:cstheme="majorBidi"/>
          <w:sz w:val="24"/>
          <w:szCs w:val="24"/>
        </w:rPr>
        <w:t xml:space="preserve"> </w:t>
      </w:r>
      <w:r w:rsidR="00132481" w:rsidRPr="00FF1DE5">
        <w:rPr>
          <w:rStyle w:val="Bodytext4"/>
          <w:rFonts w:asciiTheme="majorBidi" w:hAnsiTheme="majorBidi" w:cstheme="majorBidi"/>
          <w:sz w:val="24"/>
          <w:szCs w:val="24"/>
        </w:rPr>
        <w:t>34:691-</w:t>
      </w:r>
      <w:r w:rsidRPr="00FF1DE5">
        <w:rPr>
          <w:rStyle w:val="Bodytext4"/>
          <w:rFonts w:asciiTheme="majorBidi" w:hAnsiTheme="majorBidi" w:cstheme="majorBidi"/>
          <w:sz w:val="24"/>
          <w:szCs w:val="24"/>
        </w:rPr>
        <w:t>69</w:t>
      </w:r>
      <w:r w:rsidR="00132481" w:rsidRPr="00FF1DE5">
        <w:rPr>
          <w:rStyle w:val="Bodytext4"/>
          <w:rFonts w:asciiTheme="majorBidi" w:hAnsiTheme="majorBidi" w:cstheme="majorBidi"/>
          <w:sz w:val="24"/>
          <w:szCs w:val="24"/>
        </w:rPr>
        <w:t>3</w:t>
      </w:r>
      <w:r w:rsidR="00AB44E0" w:rsidRPr="00FF1DE5">
        <w:rPr>
          <w:rStyle w:val="Bodytext4"/>
          <w:rFonts w:asciiTheme="majorBidi" w:hAnsiTheme="majorBidi" w:cstheme="majorBidi"/>
          <w:sz w:val="24"/>
          <w:szCs w:val="24"/>
        </w:rPr>
        <w:t>.</w:t>
      </w:r>
    </w:p>
    <w:p w:rsidR="00132481" w:rsidRPr="00FF1DE5" w:rsidRDefault="00AB44E0" w:rsidP="00132481">
      <w:pPr>
        <w:numPr>
          <w:ilvl w:val="0"/>
          <w:numId w:val="11"/>
        </w:numPr>
        <w:tabs>
          <w:tab w:val="left" w:pos="212"/>
        </w:tabs>
        <w:spacing w:after="0" w:line="480" w:lineRule="auto"/>
        <w:ind w:right="20"/>
        <w:jc w:val="both"/>
        <w:rPr>
          <w:rFonts w:asciiTheme="majorBidi" w:hAnsiTheme="majorBidi" w:cstheme="majorBidi"/>
          <w:sz w:val="24"/>
          <w:szCs w:val="24"/>
        </w:rPr>
      </w:pPr>
      <w:r w:rsidRPr="00FF1DE5">
        <w:rPr>
          <w:rStyle w:val="Bodytext4"/>
          <w:rFonts w:asciiTheme="majorBidi" w:hAnsiTheme="majorBidi" w:cstheme="majorBidi"/>
          <w:sz w:val="24"/>
          <w:szCs w:val="24"/>
        </w:rPr>
        <w:t xml:space="preserve">Upton RN, </w:t>
      </w:r>
      <w:proofErr w:type="spellStart"/>
      <w:r w:rsidRPr="00FF1DE5">
        <w:rPr>
          <w:rStyle w:val="Bodytext4"/>
          <w:rFonts w:asciiTheme="majorBidi" w:hAnsiTheme="majorBidi" w:cstheme="majorBidi"/>
          <w:sz w:val="24"/>
          <w:szCs w:val="24"/>
        </w:rPr>
        <w:t>Ludbroo</w:t>
      </w:r>
      <w:r w:rsidR="00132481" w:rsidRPr="00FF1DE5">
        <w:rPr>
          <w:rStyle w:val="Bodytext4"/>
          <w:rFonts w:asciiTheme="majorBidi" w:hAnsiTheme="majorBidi" w:cstheme="majorBidi"/>
          <w:sz w:val="24"/>
          <w:szCs w:val="24"/>
        </w:rPr>
        <w:t>k</w:t>
      </w:r>
      <w:proofErr w:type="spellEnd"/>
      <w:r w:rsidR="00132481" w:rsidRPr="00FF1DE5">
        <w:rPr>
          <w:rStyle w:val="Bodytext4"/>
          <w:rFonts w:asciiTheme="majorBidi" w:hAnsiTheme="majorBidi" w:cstheme="majorBidi"/>
          <w:sz w:val="24"/>
          <w:szCs w:val="24"/>
        </w:rPr>
        <w:t xml:space="preserve"> G</w:t>
      </w:r>
      <w:r w:rsidR="00F440F7" w:rsidRPr="00FF1DE5">
        <w:rPr>
          <w:rStyle w:val="Bodytext4"/>
          <w:rFonts w:asciiTheme="majorBidi" w:hAnsiTheme="majorBidi" w:cstheme="majorBidi"/>
          <w:sz w:val="24"/>
          <w:szCs w:val="24"/>
        </w:rPr>
        <w:t>L, Grant C and</w:t>
      </w:r>
      <w:r w:rsidR="00336E45" w:rsidRPr="00FF1DE5">
        <w:rPr>
          <w:rStyle w:val="Bodytext4"/>
          <w:rFonts w:asciiTheme="majorBidi" w:hAnsiTheme="majorBidi" w:cstheme="majorBidi"/>
          <w:sz w:val="24"/>
          <w:szCs w:val="24"/>
        </w:rPr>
        <w:t xml:space="preserve"> Martinez A.</w:t>
      </w:r>
      <w:r w:rsidR="00132481" w:rsidRPr="00FF1DE5">
        <w:rPr>
          <w:rStyle w:val="Bodytext4"/>
          <w:rFonts w:asciiTheme="majorBidi" w:hAnsiTheme="majorBidi" w:cstheme="majorBidi"/>
          <w:sz w:val="24"/>
          <w:szCs w:val="24"/>
        </w:rPr>
        <w:t xml:space="preserve"> Cardiac output is a determinant of the initial concentrations of </w:t>
      </w:r>
      <w:proofErr w:type="spellStart"/>
      <w:r w:rsidR="00132481" w:rsidRPr="00FF1DE5">
        <w:rPr>
          <w:rStyle w:val="Bodytext4"/>
          <w:rFonts w:asciiTheme="majorBidi" w:hAnsiTheme="majorBidi" w:cstheme="majorBidi"/>
          <w:sz w:val="24"/>
          <w:szCs w:val="24"/>
        </w:rPr>
        <w:t>propofol</w:t>
      </w:r>
      <w:proofErr w:type="spellEnd"/>
      <w:r w:rsidR="00132481" w:rsidRPr="00FF1DE5">
        <w:rPr>
          <w:rStyle w:val="Bodytext4"/>
          <w:rFonts w:asciiTheme="majorBidi" w:hAnsiTheme="majorBidi" w:cstheme="majorBidi"/>
          <w:sz w:val="24"/>
          <w:szCs w:val="24"/>
        </w:rPr>
        <w:t xml:space="preserve"> after short-infusion administration. </w:t>
      </w:r>
      <w:proofErr w:type="spellStart"/>
      <w:r w:rsidR="00132481" w:rsidRPr="00FF1DE5">
        <w:rPr>
          <w:rStyle w:val="Bodytext4"/>
          <w:rFonts w:asciiTheme="majorBidi" w:hAnsiTheme="majorBidi" w:cstheme="majorBidi"/>
          <w:sz w:val="24"/>
          <w:szCs w:val="24"/>
        </w:rPr>
        <w:t>Anesth</w:t>
      </w:r>
      <w:proofErr w:type="spellEnd"/>
      <w:r w:rsidR="00132481" w:rsidRPr="00FF1DE5">
        <w:rPr>
          <w:rStyle w:val="Bodytext4"/>
          <w:rFonts w:asciiTheme="majorBidi" w:hAnsiTheme="majorBidi" w:cstheme="majorBidi"/>
          <w:sz w:val="24"/>
          <w:szCs w:val="24"/>
        </w:rPr>
        <w:t xml:space="preserve"> </w:t>
      </w:r>
      <w:proofErr w:type="spellStart"/>
      <w:r w:rsidR="00132481" w:rsidRPr="00FF1DE5">
        <w:rPr>
          <w:rStyle w:val="Bodytext4"/>
          <w:rFonts w:asciiTheme="majorBidi" w:hAnsiTheme="majorBidi" w:cstheme="majorBidi"/>
          <w:sz w:val="24"/>
          <w:szCs w:val="24"/>
        </w:rPr>
        <w:t>Analg</w:t>
      </w:r>
      <w:proofErr w:type="spellEnd"/>
      <w:r w:rsidR="00132481" w:rsidRPr="00FF1DE5">
        <w:rPr>
          <w:rStyle w:val="Bodytext4"/>
          <w:rFonts w:asciiTheme="majorBidi" w:hAnsiTheme="majorBidi" w:cstheme="majorBidi"/>
          <w:sz w:val="24"/>
          <w:szCs w:val="24"/>
        </w:rPr>
        <w:t xml:space="preserve"> 1999;</w:t>
      </w:r>
      <w:r w:rsidR="00F440F7" w:rsidRPr="00FF1DE5">
        <w:rPr>
          <w:rStyle w:val="Bodytext4"/>
          <w:rFonts w:asciiTheme="majorBidi" w:hAnsiTheme="majorBidi" w:cstheme="majorBidi"/>
          <w:sz w:val="24"/>
          <w:szCs w:val="24"/>
        </w:rPr>
        <w:t xml:space="preserve"> </w:t>
      </w:r>
      <w:r w:rsidR="00132481" w:rsidRPr="00FF1DE5">
        <w:rPr>
          <w:rStyle w:val="Bodytext4"/>
          <w:rFonts w:asciiTheme="majorBidi" w:hAnsiTheme="majorBidi" w:cstheme="majorBidi"/>
          <w:sz w:val="24"/>
          <w:szCs w:val="24"/>
        </w:rPr>
        <w:t>89</w:t>
      </w:r>
      <w:r w:rsidRPr="00FF1DE5">
        <w:rPr>
          <w:rStyle w:val="Bodytext4"/>
          <w:rFonts w:asciiTheme="majorBidi" w:hAnsiTheme="majorBidi" w:cstheme="majorBidi"/>
          <w:sz w:val="24"/>
          <w:szCs w:val="24"/>
        </w:rPr>
        <w:t>(3)</w:t>
      </w:r>
      <w:r w:rsidR="00132481" w:rsidRPr="00FF1DE5">
        <w:rPr>
          <w:rStyle w:val="Bodytext4"/>
          <w:rFonts w:asciiTheme="majorBidi" w:hAnsiTheme="majorBidi" w:cstheme="majorBidi"/>
          <w:sz w:val="24"/>
          <w:szCs w:val="24"/>
        </w:rPr>
        <w:t>:545-</w:t>
      </w:r>
      <w:r w:rsidR="00F440F7" w:rsidRPr="00FF1DE5">
        <w:rPr>
          <w:rStyle w:val="Bodytext4"/>
          <w:rFonts w:asciiTheme="majorBidi" w:hAnsiTheme="majorBidi" w:cstheme="majorBidi"/>
          <w:sz w:val="24"/>
          <w:szCs w:val="24"/>
        </w:rPr>
        <w:t>5</w:t>
      </w:r>
      <w:r w:rsidR="00132481" w:rsidRPr="00FF1DE5">
        <w:rPr>
          <w:rStyle w:val="Bodytext4"/>
          <w:rFonts w:asciiTheme="majorBidi" w:hAnsiTheme="majorBidi" w:cstheme="majorBidi"/>
          <w:sz w:val="24"/>
          <w:szCs w:val="24"/>
        </w:rPr>
        <w:t>52</w:t>
      </w:r>
      <w:r w:rsidRPr="00FF1DE5">
        <w:rPr>
          <w:rStyle w:val="Bodytext4"/>
          <w:rFonts w:asciiTheme="majorBidi" w:hAnsiTheme="majorBidi" w:cstheme="majorBidi"/>
          <w:sz w:val="24"/>
          <w:szCs w:val="24"/>
        </w:rPr>
        <w:t>.</w:t>
      </w:r>
    </w:p>
    <w:p w:rsidR="00132481" w:rsidRPr="00FF1DE5" w:rsidRDefault="00132481" w:rsidP="00132481">
      <w:pPr>
        <w:numPr>
          <w:ilvl w:val="0"/>
          <w:numId w:val="11"/>
        </w:numPr>
        <w:tabs>
          <w:tab w:val="left" w:pos="289"/>
        </w:tabs>
        <w:spacing w:after="0" w:line="480" w:lineRule="auto"/>
        <w:ind w:right="20"/>
        <w:jc w:val="both"/>
        <w:rPr>
          <w:rFonts w:asciiTheme="majorBidi" w:hAnsiTheme="majorBidi" w:cstheme="majorBidi"/>
          <w:sz w:val="24"/>
          <w:szCs w:val="24"/>
        </w:rPr>
      </w:pPr>
      <w:r w:rsidRPr="00FF1DE5">
        <w:rPr>
          <w:rStyle w:val="Bodytext4"/>
          <w:rFonts w:asciiTheme="majorBidi" w:hAnsiTheme="majorBidi" w:cstheme="majorBidi"/>
          <w:sz w:val="24"/>
          <w:szCs w:val="24"/>
        </w:rPr>
        <w:t xml:space="preserve">Johnson KB, Egan TD, Kern SE, White JL, </w:t>
      </w:r>
      <w:proofErr w:type="spellStart"/>
      <w:r w:rsidRPr="00FF1DE5">
        <w:rPr>
          <w:rStyle w:val="Bodytext4"/>
          <w:rFonts w:asciiTheme="majorBidi" w:hAnsiTheme="majorBidi" w:cstheme="majorBidi"/>
          <w:sz w:val="24"/>
          <w:szCs w:val="24"/>
        </w:rPr>
        <w:t>McJames</w:t>
      </w:r>
      <w:proofErr w:type="spellEnd"/>
      <w:r w:rsidRPr="00FF1DE5">
        <w:rPr>
          <w:rStyle w:val="Bodytext4"/>
          <w:rFonts w:asciiTheme="majorBidi" w:hAnsiTheme="majorBidi" w:cstheme="majorBidi"/>
          <w:sz w:val="24"/>
          <w:szCs w:val="24"/>
        </w:rPr>
        <w:t xml:space="preserve"> SW</w:t>
      </w:r>
      <w:r w:rsidR="00336E45" w:rsidRPr="00FF1DE5">
        <w:rPr>
          <w:rStyle w:val="Bodytext4"/>
          <w:rFonts w:asciiTheme="majorBidi" w:hAnsiTheme="majorBidi" w:cstheme="majorBidi"/>
          <w:sz w:val="24"/>
          <w:szCs w:val="24"/>
        </w:rPr>
        <w:t xml:space="preserve">, </w:t>
      </w:r>
      <w:proofErr w:type="spellStart"/>
      <w:r w:rsidR="00336E45" w:rsidRPr="00FF1DE5">
        <w:rPr>
          <w:rStyle w:val="Bodytext4"/>
          <w:rFonts w:asciiTheme="majorBidi" w:hAnsiTheme="majorBidi" w:cstheme="majorBidi"/>
          <w:sz w:val="24"/>
          <w:szCs w:val="24"/>
        </w:rPr>
        <w:t>Syroid</w:t>
      </w:r>
      <w:proofErr w:type="spellEnd"/>
      <w:r w:rsidR="00336E45" w:rsidRPr="00FF1DE5">
        <w:rPr>
          <w:rStyle w:val="Bodytext4"/>
          <w:rFonts w:asciiTheme="majorBidi" w:hAnsiTheme="majorBidi" w:cstheme="majorBidi"/>
          <w:sz w:val="24"/>
          <w:szCs w:val="24"/>
        </w:rPr>
        <w:t xml:space="preserve"> N, et al.</w:t>
      </w:r>
      <w:r w:rsidRPr="00FF1DE5">
        <w:rPr>
          <w:rStyle w:val="Bodytext4"/>
          <w:rFonts w:asciiTheme="majorBidi" w:hAnsiTheme="majorBidi" w:cstheme="majorBidi"/>
          <w:sz w:val="24"/>
          <w:szCs w:val="24"/>
        </w:rPr>
        <w:t xml:space="preserve"> The influence o</w:t>
      </w:r>
      <w:r w:rsidR="00336E45" w:rsidRPr="00FF1DE5">
        <w:rPr>
          <w:rStyle w:val="Bodytext4"/>
          <w:rFonts w:asciiTheme="majorBidi" w:hAnsiTheme="majorBidi" w:cstheme="majorBidi"/>
          <w:sz w:val="24"/>
          <w:szCs w:val="24"/>
        </w:rPr>
        <w:t xml:space="preserve">f hemorrhagic shock on </w:t>
      </w:r>
      <w:proofErr w:type="spellStart"/>
      <w:r w:rsidR="00336E45" w:rsidRPr="00FF1DE5">
        <w:rPr>
          <w:rStyle w:val="Bodytext4"/>
          <w:rFonts w:asciiTheme="majorBidi" w:hAnsiTheme="majorBidi" w:cstheme="majorBidi"/>
          <w:sz w:val="24"/>
          <w:szCs w:val="24"/>
        </w:rPr>
        <w:t>propofol</w:t>
      </w:r>
      <w:proofErr w:type="spellEnd"/>
      <w:r w:rsidR="00336E45" w:rsidRPr="00FF1DE5">
        <w:rPr>
          <w:rStyle w:val="Bodytext4"/>
          <w:rFonts w:asciiTheme="majorBidi" w:hAnsiTheme="majorBidi" w:cstheme="majorBidi"/>
          <w:sz w:val="24"/>
          <w:szCs w:val="24"/>
        </w:rPr>
        <w:t>:</w:t>
      </w:r>
      <w:r w:rsidRPr="00FF1DE5">
        <w:rPr>
          <w:rStyle w:val="Bodytext4"/>
          <w:rFonts w:asciiTheme="majorBidi" w:hAnsiTheme="majorBidi" w:cstheme="majorBidi"/>
          <w:sz w:val="24"/>
          <w:szCs w:val="24"/>
        </w:rPr>
        <w:t xml:space="preserve"> A pharmacokinetic and </w:t>
      </w:r>
      <w:proofErr w:type="spellStart"/>
      <w:r w:rsidRPr="00FF1DE5">
        <w:rPr>
          <w:rStyle w:val="Bodytext4"/>
          <w:rFonts w:asciiTheme="majorBidi" w:hAnsiTheme="majorBidi" w:cstheme="majorBidi"/>
          <w:sz w:val="24"/>
          <w:szCs w:val="24"/>
        </w:rPr>
        <w:t>pharmacodynamic</w:t>
      </w:r>
      <w:proofErr w:type="spellEnd"/>
      <w:r w:rsidRPr="00FF1DE5">
        <w:rPr>
          <w:rStyle w:val="Bodytext4"/>
          <w:rFonts w:asciiTheme="majorBidi" w:hAnsiTheme="majorBidi" w:cstheme="majorBidi"/>
          <w:sz w:val="24"/>
          <w:szCs w:val="24"/>
        </w:rPr>
        <w:t xml:space="preserve"> analy</w:t>
      </w:r>
      <w:r w:rsidRPr="00FF1DE5">
        <w:rPr>
          <w:rStyle w:val="Bodytext4"/>
          <w:rFonts w:asciiTheme="majorBidi" w:hAnsiTheme="majorBidi" w:cstheme="majorBidi"/>
          <w:sz w:val="24"/>
          <w:szCs w:val="24"/>
        </w:rPr>
        <w:softHyphen/>
        <w:t>sis. Anesthesiology 2003;</w:t>
      </w:r>
      <w:r w:rsidR="00F440F7" w:rsidRPr="00FF1DE5">
        <w:rPr>
          <w:rStyle w:val="Bodytext4"/>
          <w:rFonts w:asciiTheme="majorBidi" w:hAnsiTheme="majorBidi" w:cstheme="majorBidi"/>
          <w:sz w:val="24"/>
          <w:szCs w:val="24"/>
        </w:rPr>
        <w:t xml:space="preserve"> </w:t>
      </w:r>
      <w:r w:rsidRPr="00FF1DE5">
        <w:rPr>
          <w:rStyle w:val="Bodytext4"/>
          <w:rFonts w:asciiTheme="majorBidi" w:hAnsiTheme="majorBidi" w:cstheme="majorBidi"/>
          <w:sz w:val="24"/>
          <w:szCs w:val="24"/>
        </w:rPr>
        <w:t>99</w:t>
      </w:r>
      <w:r w:rsidR="00336E45" w:rsidRPr="00FF1DE5">
        <w:rPr>
          <w:rStyle w:val="Bodytext4"/>
          <w:rFonts w:asciiTheme="majorBidi" w:hAnsiTheme="majorBidi" w:cstheme="majorBidi"/>
          <w:sz w:val="24"/>
          <w:szCs w:val="24"/>
        </w:rPr>
        <w:t>(2)</w:t>
      </w:r>
      <w:r w:rsidRPr="00FF1DE5">
        <w:rPr>
          <w:rStyle w:val="Bodytext4"/>
          <w:rFonts w:asciiTheme="majorBidi" w:hAnsiTheme="majorBidi" w:cstheme="majorBidi"/>
          <w:sz w:val="24"/>
          <w:szCs w:val="24"/>
        </w:rPr>
        <w:t>:409-</w:t>
      </w:r>
      <w:r w:rsidR="00F440F7" w:rsidRPr="00FF1DE5">
        <w:rPr>
          <w:rStyle w:val="Bodytext4"/>
          <w:rFonts w:asciiTheme="majorBidi" w:hAnsiTheme="majorBidi" w:cstheme="majorBidi"/>
          <w:sz w:val="24"/>
          <w:szCs w:val="24"/>
        </w:rPr>
        <w:t>4</w:t>
      </w:r>
      <w:r w:rsidRPr="00FF1DE5">
        <w:rPr>
          <w:rStyle w:val="Bodytext4"/>
          <w:rFonts w:asciiTheme="majorBidi" w:hAnsiTheme="majorBidi" w:cstheme="majorBidi"/>
          <w:sz w:val="24"/>
          <w:szCs w:val="24"/>
        </w:rPr>
        <w:t>20</w:t>
      </w:r>
      <w:r w:rsidR="00336E45" w:rsidRPr="00FF1DE5">
        <w:rPr>
          <w:rStyle w:val="Bodytext4"/>
          <w:rFonts w:asciiTheme="majorBidi" w:hAnsiTheme="majorBidi" w:cstheme="majorBidi"/>
          <w:sz w:val="24"/>
          <w:szCs w:val="24"/>
        </w:rPr>
        <w:t>.</w:t>
      </w:r>
    </w:p>
    <w:p w:rsidR="00132481" w:rsidRPr="00FF1DE5" w:rsidRDefault="00F440F7" w:rsidP="00132481">
      <w:pPr>
        <w:numPr>
          <w:ilvl w:val="0"/>
          <w:numId w:val="11"/>
        </w:numPr>
        <w:tabs>
          <w:tab w:val="left" w:pos="289"/>
        </w:tabs>
        <w:spacing w:after="0" w:line="480" w:lineRule="auto"/>
        <w:ind w:right="20"/>
        <w:jc w:val="both"/>
        <w:rPr>
          <w:rFonts w:asciiTheme="majorBidi" w:hAnsiTheme="majorBidi" w:cstheme="majorBidi"/>
          <w:sz w:val="24"/>
          <w:szCs w:val="24"/>
        </w:rPr>
      </w:pPr>
      <w:proofErr w:type="spellStart"/>
      <w:r w:rsidRPr="00FF1DE5">
        <w:rPr>
          <w:rStyle w:val="Bodytext4"/>
          <w:rFonts w:asciiTheme="majorBidi" w:hAnsiTheme="majorBidi" w:cstheme="majorBidi"/>
          <w:sz w:val="24"/>
          <w:szCs w:val="24"/>
        </w:rPr>
        <w:t>Myburgh</w:t>
      </w:r>
      <w:proofErr w:type="spellEnd"/>
      <w:r w:rsidRPr="00FF1DE5">
        <w:rPr>
          <w:rStyle w:val="Bodytext4"/>
          <w:rFonts w:asciiTheme="majorBidi" w:hAnsiTheme="majorBidi" w:cstheme="majorBidi"/>
          <w:sz w:val="24"/>
          <w:szCs w:val="24"/>
        </w:rPr>
        <w:t xml:space="preserve"> JA, Upton RN, Grant C and</w:t>
      </w:r>
      <w:r w:rsidR="00336E45" w:rsidRPr="00FF1DE5">
        <w:rPr>
          <w:rStyle w:val="Bodytext4"/>
          <w:rFonts w:asciiTheme="majorBidi" w:hAnsiTheme="majorBidi" w:cstheme="majorBidi"/>
          <w:sz w:val="24"/>
          <w:szCs w:val="24"/>
        </w:rPr>
        <w:t xml:space="preserve"> Martinez A.</w:t>
      </w:r>
      <w:r w:rsidR="00132481" w:rsidRPr="00FF1DE5">
        <w:rPr>
          <w:rStyle w:val="Bodytext4"/>
          <w:rFonts w:asciiTheme="majorBidi" w:hAnsiTheme="majorBidi" w:cstheme="majorBidi"/>
          <w:sz w:val="24"/>
          <w:szCs w:val="24"/>
        </w:rPr>
        <w:t xml:space="preserve"> Epinephrine, </w:t>
      </w:r>
      <w:proofErr w:type="spellStart"/>
      <w:r w:rsidR="00132481" w:rsidRPr="00FF1DE5">
        <w:rPr>
          <w:rStyle w:val="Bodytext4"/>
          <w:rFonts w:asciiTheme="majorBidi" w:hAnsiTheme="majorBidi" w:cstheme="majorBidi"/>
          <w:sz w:val="24"/>
          <w:szCs w:val="24"/>
        </w:rPr>
        <w:t>norepinephrine</w:t>
      </w:r>
      <w:proofErr w:type="spellEnd"/>
      <w:r w:rsidR="00132481" w:rsidRPr="00FF1DE5">
        <w:rPr>
          <w:rStyle w:val="Bodytext4"/>
          <w:rFonts w:asciiTheme="majorBidi" w:hAnsiTheme="majorBidi" w:cstheme="majorBidi"/>
          <w:sz w:val="24"/>
          <w:szCs w:val="24"/>
        </w:rPr>
        <w:t xml:space="preserve"> and dopamine infusions decrease </w:t>
      </w:r>
      <w:proofErr w:type="spellStart"/>
      <w:r w:rsidR="00132481" w:rsidRPr="00FF1DE5">
        <w:rPr>
          <w:rStyle w:val="Bodytext4"/>
          <w:rFonts w:asciiTheme="majorBidi" w:hAnsiTheme="majorBidi" w:cstheme="majorBidi"/>
          <w:sz w:val="24"/>
          <w:szCs w:val="24"/>
        </w:rPr>
        <w:t>propofol</w:t>
      </w:r>
      <w:proofErr w:type="spellEnd"/>
      <w:r w:rsidR="00132481" w:rsidRPr="00FF1DE5">
        <w:rPr>
          <w:rStyle w:val="Bodytext4"/>
          <w:rFonts w:asciiTheme="majorBidi" w:hAnsiTheme="majorBidi" w:cstheme="majorBidi"/>
          <w:sz w:val="24"/>
          <w:szCs w:val="24"/>
        </w:rPr>
        <w:t xml:space="preserve"> con</w:t>
      </w:r>
      <w:r w:rsidR="00132481" w:rsidRPr="00FF1DE5">
        <w:rPr>
          <w:rStyle w:val="Bodytext4"/>
          <w:rFonts w:asciiTheme="majorBidi" w:hAnsiTheme="majorBidi" w:cstheme="majorBidi"/>
          <w:sz w:val="24"/>
          <w:szCs w:val="24"/>
        </w:rPr>
        <w:softHyphen/>
        <w:t xml:space="preserve">centrations during continuous </w:t>
      </w:r>
      <w:proofErr w:type="spellStart"/>
      <w:r w:rsidR="00132481" w:rsidRPr="00FF1DE5">
        <w:rPr>
          <w:rStyle w:val="Bodytext4"/>
          <w:rFonts w:asciiTheme="majorBidi" w:hAnsiTheme="majorBidi" w:cstheme="majorBidi"/>
          <w:sz w:val="24"/>
          <w:szCs w:val="24"/>
        </w:rPr>
        <w:t>propofol</w:t>
      </w:r>
      <w:proofErr w:type="spellEnd"/>
      <w:r w:rsidR="00132481" w:rsidRPr="00FF1DE5">
        <w:rPr>
          <w:rStyle w:val="Bodytext4"/>
          <w:rFonts w:asciiTheme="majorBidi" w:hAnsiTheme="majorBidi" w:cstheme="majorBidi"/>
          <w:sz w:val="24"/>
          <w:szCs w:val="24"/>
        </w:rPr>
        <w:t xml:space="preserve"> infusion in an ovine model. Intensive Care Med 2001;</w:t>
      </w:r>
      <w:r w:rsidRPr="00FF1DE5">
        <w:rPr>
          <w:rStyle w:val="Bodytext4"/>
          <w:rFonts w:asciiTheme="majorBidi" w:hAnsiTheme="majorBidi" w:cstheme="majorBidi"/>
          <w:sz w:val="24"/>
          <w:szCs w:val="24"/>
        </w:rPr>
        <w:t xml:space="preserve"> </w:t>
      </w:r>
      <w:r w:rsidR="00132481" w:rsidRPr="00FF1DE5">
        <w:rPr>
          <w:rStyle w:val="Bodytext4"/>
          <w:rFonts w:asciiTheme="majorBidi" w:hAnsiTheme="majorBidi" w:cstheme="majorBidi"/>
          <w:sz w:val="24"/>
          <w:szCs w:val="24"/>
        </w:rPr>
        <w:t>27</w:t>
      </w:r>
      <w:r w:rsidR="00336E45" w:rsidRPr="00FF1DE5">
        <w:rPr>
          <w:rStyle w:val="Bodytext4"/>
          <w:rFonts w:asciiTheme="majorBidi" w:hAnsiTheme="majorBidi" w:cstheme="majorBidi"/>
          <w:sz w:val="24"/>
          <w:szCs w:val="24"/>
        </w:rPr>
        <w:t>(1)</w:t>
      </w:r>
      <w:r w:rsidR="00132481" w:rsidRPr="00FF1DE5">
        <w:rPr>
          <w:rStyle w:val="Bodytext4"/>
          <w:rFonts w:asciiTheme="majorBidi" w:hAnsiTheme="majorBidi" w:cstheme="majorBidi"/>
          <w:sz w:val="24"/>
          <w:szCs w:val="24"/>
        </w:rPr>
        <w:t>:276-</w:t>
      </w:r>
      <w:r w:rsidRPr="00FF1DE5">
        <w:rPr>
          <w:rStyle w:val="Bodytext4"/>
          <w:rFonts w:asciiTheme="majorBidi" w:hAnsiTheme="majorBidi" w:cstheme="majorBidi"/>
          <w:sz w:val="24"/>
          <w:szCs w:val="24"/>
        </w:rPr>
        <w:t>2</w:t>
      </w:r>
      <w:r w:rsidR="00132481" w:rsidRPr="00FF1DE5">
        <w:rPr>
          <w:rStyle w:val="Bodytext4"/>
          <w:rFonts w:asciiTheme="majorBidi" w:hAnsiTheme="majorBidi" w:cstheme="majorBidi"/>
          <w:sz w:val="24"/>
          <w:szCs w:val="24"/>
        </w:rPr>
        <w:t>82</w:t>
      </w:r>
      <w:r w:rsidR="00336E45" w:rsidRPr="00FF1DE5">
        <w:rPr>
          <w:rStyle w:val="Bodytext4"/>
          <w:rFonts w:asciiTheme="majorBidi" w:hAnsiTheme="majorBidi" w:cstheme="majorBidi"/>
          <w:sz w:val="24"/>
          <w:szCs w:val="24"/>
        </w:rPr>
        <w:t>.</w:t>
      </w:r>
    </w:p>
    <w:p w:rsidR="00132481" w:rsidRPr="00FF1DE5" w:rsidRDefault="00132481" w:rsidP="00132481">
      <w:pPr>
        <w:numPr>
          <w:ilvl w:val="0"/>
          <w:numId w:val="11"/>
        </w:numPr>
        <w:tabs>
          <w:tab w:val="left" w:pos="289"/>
        </w:tabs>
        <w:spacing w:after="0" w:line="480" w:lineRule="auto"/>
        <w:ind w:right="20"/>
        <w:jc w:val="both"/>
        <w:rPr>
          <w:rFonts w:asciiTheme="majorBidi" w:hAnsiTheme="majorBidi" w:cstheme="majorBidi"/>
          <w:sz w:val="24"/>
          <w:szCs w:val="24"/>
        </w:rPr>
      </w:pPr>
      <w:r w:rsidRPr="00FF1DE5">
        <w:rPr>
          <w:rStyle w:val="Bodytext4"/>
          <w:rFonts w:asciiTheme="majorBidi" w:hAnsiTheme="majorBidi" w:cstheme="majorBidi"/>
          <w:sz w:val="24"/>
          <w:szCs w:val="24"/>
        </w:rPr>
        <w:t>A</w:t>
      </w:r>
      <w:r w:rsidR="00F440F7" w:rsidRPr="00FF1DE5">
        <w:rPr>
          <w:rStyle w:val="Bodytext4"/>
          <w:rFonts w:asciiTheme="majorBidi" w:hAnsiTheme="majorBidi" w:cstheme="majorBidi"/>
          <w:sz w:val="24"/>
          <w:szCs w:val="24"/>
        </w:rPr>
        <w:t>dachi YU, Watanabe K, Higuchi H and</w:t>
      </w:r>
      <w:r w:rsidRPr="00FF1DE5">
        <w:rPr>
          <w:rStyle w:val="Bodytext4"/>
          <w:rFonts w:asciiTheme="majorBidi" w:hAnsiTheme="majorBidi" w:cstheme="majorBidi"/>
          <w:sz w:val="24"/>
          <w:szCs w:val="24"/>
        </w:rPr>
        <w:t xml:space="preserve"> Satoh T. The determinants of </w:t>
      </w:r>
      <w:proofErr w:type="spellStart"/>
      <w:r w:rsidRPr="00FF1DE5">
        <w:rPr>
          <w:rStyle w:val="Bodytext4"/>
          <w:rFonts w:asciiTheme="majorBidi" w:hAnsiTheme="majorBidi" w:cstheme="majorBidi"/>
          <w:sz w:val="24"/>
          <w:szCs w:val="24"/>
        </w:rPr>
        <w:t>propofol</w:t>
      </w:r>
      <w:proofErr w:type="spellEnd"/>
      <w:r w:rsidRPr="00FF1DE5">
        <w:rPr>
          <w:rStyle w:val="Bodytext4"/>
          <w:rFonts w:asciiTheme="majorBidi" w:hAnsiTheme="majorBidi" w:cstheme="majorBidi"/>
          <w:sz w:val="24"/>
          <w:szCs w:val="24"/>
        </w:rPr>
        <w:t xml:space="preserve"> induction of a</w:t>
      </w:r>
      <w:r w:rsidR="00552D0A" w:rsidRPr="00FF1DE5">
        <w:rPr>
          <w:rStyle w:val="Bodytext4"/>
          <w:rFonts w:asciiTheme="majorBidi" w:hAnsiTheme="majorBidi" w:cstheme="majorBidi"/>
          <w:sz w:val="24"/>
          <w:szCs w:val="24"/>
        </w:rPr>
        <w:t xml:space="preserve">nesthesia dose. </w:t>
      </w:r>
      <w:proofErr w:type="spellStart"/>
      <w:r w:rsidR="00552D0A" w:rsidRPr="00FF1DE5">
        <w:rPr>
          <w:rStyle w:val="Bodytext4"/>
          <w:rFonts w:asciiTheme="majorBidi" w:hAnsiTheme="majorBidi" w:cstheme="majorBidi"/>
          <w:sz w:val="24"/>
          <w:szCs w:val="24"/>
        </w:rPr>
        <w:t>Anesth</w:t>
      </w:r>
      <w:proofErr w:type="spellEnd"/>
      <w:r w:rsidR="00552D0A" w:rsidRPr="00FF1DE5">
        <w:rPr>
          <w:rStyle w:val="Bodytext4"/>
          <w:rFonts w:asciiTheme="majorBidi" w:hAnsiTheme="majorBidi" w:cstheme="majorBidi"/>
          <w:sz w:val="24"/>
          <w:szCs w:val="24"/>
        </w:rPr>
        <w:t xml:space="preserve"> </w:t>
      </w:r>
      <w:proofErr w:type="spellStart"/>
      <w:r w:rsidR="00552D0A" w:rsidRPr="00FF1DE5">
        <w:rPr>
          <w:rStyle w:val="Bodytext4"/>
          <w:rFonts w:asciiTheme="majorBidi" w:hAnsiTheme="majorBidi" w:cstheme="majorBidi"/>
          <w:sz w:val="24"/>
          <w:szCs w:val="24"/>
        </w:rPr>
        <w:t>Analg</w:t>
      </w:r>
      <w:proofErr w:type="spellEnd"/>
      <w:r w:rsidR="00552D0A" w:rsidRPr="00FF1DE5">
        <w:rPr>
          <w:rStyle w:val="Bodytext4"/>
          <w:rFonts w:asciiTheme="majorBidi" w:hAnsiTheme="majorBidi" w:cstheme="majorBidi"/>
          <w:sz w:val="24"/>
          <w:szCs w:val="24"/>
        </w:rPr>
        <w:t xml:space="preserve"> 2001;</w:t>
      </w:r>
      <w:r w:rsidR="00F440F7" w:rsidRPr="00FF1DE5">
        <w:rPr>
          <w:rStyle w:val="Bodytext4"/>
          <w:rFonts w:asciiTheme="majorBidi" w:hAnsiTheme="majorBidi" w:cstheme="majorBidi"/>
          <w:sz w:val="24"/>
          <w:szCs w:val="24"/>
        </w:rPr>
        <w:t xml:space="preserve"> </w:t>
      </w:r>
      <w:r w:rsidRPr="00FF1DE5">
        <w:rPr>
          <w:rStyle w:val="Bodytext4"/>
          <w:rFonts w:asciiTheme="majorBidi" w:hAnsiTheme="majorBidi" w:cstheme="majorBidi"/>
          <w:sz w:val="24"/>
          <w:szCs w:val="24"/>
        </w:rPr>
        <w:t>92</w:t>
      </w:r>
      <w:r w:rsidR="00552D0A" w:rsidRPr="00FF1DE5">
        <w:rPr>
          <w:rStyle w:val="Bodytext4"/>
          <w:rFonts w:asciiTheme="majorBidi" w:hAnsiTheme="majorBidi" w:cstheme="majorBidi"/>
          <w:sz w:val="24"/>
          <w:szCs w:val="24"/>
        </w:rPr>
        <w:t>(3)</w:t>
      </w:r>
      <w:r w:rsidRPr="00FF1DE5">
        <w:rPr>
          <w:rStyle w:val="Bodytext4"/>
          <w:rFonts w:asciiTheme="majorBidi" w:hAnsiTheme="majorBidi" w:cstheme="majorBidi"/>
          <w:sz w:val="24"/>
          <w:szCs w:val="24"/>
        </w:rPr>
        <w:t>:656-</w:t>
      </w:r>
      <w:r w:rsidR="00F440F7" w:rsidRPr="00FF1DE5">
        <w:rPr>
          <w:rStyle w:val="Bodytext4"/>
          <w:rFonts w:asciiTheme="majorBidi" w:hAnsiTheme="majorBidi" w:cstheme="majorBidi"/>
          <w:sz w:val="24"/>
          <w:szCs w:val="24"/>
        </w:rPr>
        <w:t>6</w:t>
      </w:r>
      <w:r w:rsidRPr="00FF1DE5">
        <w:rPr>
          <w:rStyle w:val="Bodytext4"/>
          <w:rFonts w:asciiTheme="majorBidi" w:hAnsiTheme="majorBidi" w:cstheme="majorBidi"/>
          <w:sz w:val="24"/>
          <w:szCs w:val="24"/>
        </w:rPr>
        <w:t>61</w:t>
      </w:r>
      <w:r w:rsidR="00552D0A" w:rsidRPr="00FF1DE5">
        <w:rPr>
          <w:rStyle w:val="Bodytext4"/>
          <w:rFonts w:asciiTheme="majorBidi" w:hAnsiTheme="majorBidi" w:cstheme="majorBidi"/>
          <w:sz w:val="24"/>
          <w:szCs w:val="24"/>
        </w:rPr>
        <w:t>.</w:t>
      </w:r>
    </w:p>
    <w:p w:rsidR="00132481" w:rsidRPr="00FF1DE5" w:rsidRDefault="00132481" w:rsidP="00132481">
      <w:pPr>
        <w:numPr>
          <w:ilvl w:val="0"/>
          <w:numId w:val="11"/>
        </w:numPr>
        <w:tabs>
          <w:tab w:val="left" w:pos="346"/>
        </w:tabs>
        <w:spacing w:after="0" w:line="480" w:lineRule="auto"/>
        <w:ind w:right="20"/>
        <w:jc w:val="both"/>
        <w:rPr>
          <w:rFonts w:asciiTheme="majorBidi" w:hAnsiTheme="majorBidi" w:cstheme="majorBidi"/>
          <w:sz w:val="24"/>
          <w:szCs w:val="24"/>
        </w:rPr>
      </w:pPr>
      <w:r w:rsidRPr="00FF1DE5">
        <w:rPr>
          <w:rFonts w:asciiTheme="majorBidi" w:hAnsiTheme="majorBidi" w:cstheme="majorBidi"/>
          <w:sz w:val="24"/>
          <w:szCs w:val="24"/>
        </w:rPr>
        <w:t>Wil</w:t>
      </w:r>
      <w:r w:rsidR="00552D0A" w:rsidRPr="00FF1DE5">
        <w:rPr>
          <w:rFonts w:asciiTheme="majorBidi" w:hAnsiTheme="majorBidi" w:cstheme="majorBidi"/>
          <w:sz w:val="24"/>
          <w:szCs w:val="24"/>
        </w:rPr>
        <w:t xml:space="preserve">son E S, </w:t>
      </w:r>
      <w:proofErr w:type="spellStart"/>
      <w:r w:rsidR="00552D0A" w:rsidRPr="00FF1DE5">
        <w:rPr>
          <w:rFonts w:asciiTheme="majorBidi" w:hAnsiTheme="majorBidi" w:cstheme="majorBidi"/>
          <w:sz w:val="24"/>
          <w:szCs w:val="24"/>
        </w:rPr>
        <w:t>McKinlay</w:t>
      </w:r>
      <w:proofErr w:type="spellEnd"/>
      <w:r w:rsidR="00552D0A" w:rsidRPr="00FF1DE5">
        <w:rPr>
          <w:rFonts w:asciiTheme="majorBidi" w:hAnsiTheme="majorBidi" w:cstheme="majorBidi"/>
          <w:sz w:val="24"/>
          <w:szCs w:val="24"/>
        </w:rPr>
        <w:t xml:space="preserve"> S, C</w:t>
      </w:r>
      <w:r w:rsidR="00F440F7" w:rsidRPr="00FF1DE5">
        <w:rPr>
          <w:rFonts w:asciiTheme="majorBidi" w:hAnsiTheme="majorBidi" w:cstheme="majorBidi"/>
          <w:sz w:val="24"/>
          <w:szCs w:val="24"/>
        </w:rPr>
        <w:t>rawford JM and</w:t>
      </w:r>
      <w:r w:rsidR="00552D0A" w:rsidRPr="00FF1DE5">
        <w:rPr>
          <w:rFonts w:asciiTheme="majorBidi" w:hAnsiTheme="majorBidi" w:cstheme="majorBidi"/>
          <w:sz w:val="24"/>
          <w:szCs w:val="24"/>
        </w:rPr>
        <w:t xml:space="preserve"> Robb HM.</w:t>
      </w:r>
      <w:r w:rsidRPr="00FF1DE5">
        <w:rPr>
          <w:rFonts w:asciiTheme="majorBidi" w:hAnsiTheme="majorBidi" w:cstheme="majorBidi"/>
          <w:sz w:val="24"/>
          <w:szCs w:val="24"/>
        </w:rPr>
        <w:t xml:space="preserve"> The influence of </w:t>
      </w:r>
      <w:proofErr w:type="spellStart"/>
      <w:r w:rsidRPr="00FF1DE5">
        <w:rPr>
          <w:rFonts w:asciiTheme="majorBidi" w:hAnsiTheme="majorBidi" w:cstheme="majorBidi"/>
          <w:sz w:val="24"/>
          <w:szCs w:val="24"/>
        </w:rPr>
        <w:t>esmolol</w:t>
      </w:r>
      <w:proofErr w:type="spellEnd"/>
      <w:r w:rsidRPr="00FF1DE5">
        <w:rPr>
          <w:rFonts w:asciiTheme="majorBidi" w:hAnsiTheme="majorBidi" w:cstheme="majorBidi"/>
          <w:sz w:val="24"/>
          <w:szCs w:val="24"/>
        </w:rPr>
        <w:t xml:space="preserve"> on the dose of </w:t>
      </w:r>
      <w:proofErr w:type="spellStart"/>
      <w:r w:rsidRPr="00FF1DE5">
        <w:rPr>
          <w:rFonts w:asciiTheme="majorBidi" w:hAnsiTheme="majorBidi" w:cstheme="majorBidi"/>
          <w:sz w:val="24"/>
          <w:szCs w:val="24"/>
        </w:rPr>
        <w:t>propofol</w:t>
      </w:r>
      <w:proofErr w:type="spellEnd"/>
      <w:r w:rsidRPr="00FF1DE5">
        <w:rPr>
          <w:rFonts w:asciiTheme="majorBidi" w:hAnsiTheme="majorBidi" w:cstheme="majorBidi"/>
          <w:sz w:val="24"/>
          <w:szCs w:val="24"/>
        </w:rPr>
        <w:t xml:space="preserve"> required for induction of </w:t>
      </w:r>
      <w:proofErr w:type="spellStart"/>
      <w:r w:rsidRPr="00FF1DE5">
        <w:rPr>
          <w:rFonts w:asciiTheme="majorBidi" w:hAnsiTheme="majorBidi" w:cstheme="majorBidi"/>
          <w:sz w:val="24"/>
          <w:szCs w:val="24"/>
        </w:rPr>
        <w:t>anaesthesia</w:t>
      </w:r>
      <w:proofErr w:type="spellEnd"/>
      <w:r w:rsidRPr="00FF1DE5">
        <w:rPr>
          <w:rFonts w:asciiTheme="majorBidi" w:hAnsiTheme="majorBidi" w:cstheme="majorBidi"/>
          <w:sz w:val="24"/>
          <w:szCs w:val="24"/>
        </w:rPr>
        <w:t xml:space="preserve">. </w:t>
      </w:r>
      <w:proofErr w:type="spellStart"/>
      <w:r w:rsidRPr="00FF1DE5">
        <w:rPr>
          <w:rStyle w:val="Bodytext5Italic1"/>
          <w:rFonts w:asciiTheme="majorBidi" w:hAnsiTheme="majorBidi" w:cstheme="majorBidi"/>
          <w:i w:val="0"/>
          <w:sz w:val="24"/>
          <w:szCs w:val="24"/>
        </w:rPr>
        <w:t>Anaesthesia</w:t>
      </w:r>
      <w:proofErr w:type="spellEnd"/>
      <w:r w:rsidRPr="00FF1DE5">
        <w:rPr>
          <w:rStyle w:val="Bodytext5Italic1"/>
          <w:rFonts w:asciiTheme="majorBidi" w:hAnsiTheme="majorBidi" w:cstheme="majorBidi"/>
          <w:sz w:val="24"/>
          <w:szCs w:val="24"/>
        </w:rPr>
        <w:t xml:space="preserve"> </w:t>
      </w:r>
      <w:r w:rsidRPr="00FF1DE5">
        <w:rPr>
          <w:rFonts w:asciiTheme="majorBidi" w:hAnsiTheme="majorBidi" w:cstheme="majorBidi"/>
          <w:sz w:val="24"/>
          <w:szCs w:val="24"/>
        </w:rPr>
        <w:t>2004</w:t>
      </w:r>
      <w:r w:rsidR="00552D0A" w:rsidRPr="00FF1DE5">
        <w:rPr>
          <w:rStyle w:val="Bodytext5145pt1"/>
          <w:rFonts w:asciiTheme="majorBidi" w:hAnsiTheme="majorBidi" w:cstheme="majorBidi"/>
          <w:b w:val="0"/>
          <w:sz w:val="24"/>
          <w:szCs w:val="24"/>
        </w:rPr>
        <w:t>;</w:t>
      </w:r>
      <w:r w:rsidR="00F440F7" w:rsidRPr="00FF1DE5">
        <w:rPr>
          <w:rStyle w:val="Bodytext5145pt1"/>
          <w:rFonts w:asciiTheme="majorBidi" w:hAnsiTheme="majorBidi" w:cstheme="majorBidi"/>
          <w:b w:val="0"/>
          <w:sz w:val="24"/>
          <w:szCs w:val="24"/>
        </w:rPr>
        <w:t xml:space="preserve"> </w:t>
      </w:r>
      <w:r w:rsidRPr="00FF1DE5">
        <w:rPr>
          <w:rStyle w:val="Bodytext5145pt1"/>
          <w:rFonts w:asciiTheme="majorBidi" w:hAnsiTheme="majorBidi" w:cstheme="majorBidi"/>
          <w:b w:val="0"/>
          <w:sz w:val="24"/>
          <w:szCs w:val="24"/>
        </w:rPr>
        <w:t>59</w:t>
      </w:r>
      <w:r w:rsidR="00552D0A" w:rsidRPr="00FF1DE5">
        <w:rPr>
          <w:rStyle w:val="Bodytext5145pt1"/>
          <w:rFonts w:asciiTheme="majorBidi" w:hAnsiTheme="majorBidi" w:cstheme="majorBidi"/>
          <w:b w:val="0"/>
          <w:sz w:val="24"/>
          <w:szCs w:val="24"/>
        </w:rPr>
        <w:t>(2)</w:t>
      </w:r>
      <w:r w:rsidRPr="00FF1DE5">
        <w:rPr>
          <w:rStyle w:val="Bodytext5145pt1"/>
          <w:rFonts w:asciiTheme="majorBidi" w:hAnsiTheme="majorBidi" w:cstheme="majorBidi"/>
          <w:sz w:val="24"/>
          <w:szCs w:val="24"/>
        </w:rPr>
        <w:t>:</w:t>
      </w:r>
      <w:r w:rsidR="00552D0A" w:rsidRPr="00FF1DE5">
        <w:rPr>
          <w:rFonts w:asciiTheme="majorBidi" w:hAnsiTheme="majorBidi" w:cstheme="majorBidi"/>
          <w:sz w:val="24"/>
          <w:szCs w:val="24"/>
        </w:rPr>
        <w:t>122-</w:t>
      </w:r>
      <w:r w:rsidR="00F440F7" w:rsidRPr="00FF1DE5">
        <w:rPr>
          <w:rFonts w:asciiTheme="majorBidi" w:hAnsiTheme="majorBidi" w:cstheme="majorBidi"/>
          <w:sz w:val="24"/>
          <w:szCs w:val="24"/>
        </w:rPr>
        <w:t>12</w:t>
      </w:r>
      <w:r w:rsidRPr="00FF1DE5">
        <w:rPr>
          <w:rFonts w:asciiTheme="majorBidi" w:hAnsiTheme="majorBidi" w:cstheme="majorBidi"/>
          <w:sz w:val="24"/>
          <w:szCs w:val="24"/>
        </w:rPr>
        <w:t>6</w:t>
      </w:r>
      <w:r w:rsidR="00552D0A" w:rsidRPr="00FF1DE5">
        <w:rPr>
          <w:rFonts w:asciiTheme="majorBidi" w:hAnsiTheme="majorBidi" w:cstheme="majorBidi"/>
          <w:sz w:val="24"/>
          <w:szCs w:val="24"/>
        </w:rPr>
        <w:t>.</w:t>
      </w:r>
      <w:r w:rsidRPr="00FF1DE5">
        <w:rPr>
          <w:rFonts w:asciiTheme="majorBidi" w:hAnsiTheme="majorBidi" w:cstheme="majorBidi"/>
          <w:sz w:val="24"/>
          <w:szCs w:val="24"/>
        </w:rPr>
        <w:t xml:space="preserve"> </w:t>
      </w:r>
    </w:p>
    <w:p w:rsidR="00132481" w:rsidRPr="00FF1DE5" w:rsidRDefault="00552D0A" w:rsidP="00132481">
      <w:pPr>
        <w:numPr>
          <w:ilvl w:val="0"/>
          <w:numId w:val="11"/>
        </w:numPr>
        <w:tabs>
          <w:tab w:val="left" w:pos="346"/>
        </w:tabs>
        <w:spacing w:after="0" w:line="480" w:lineRule="auto"/>
        <w:ind w:right="20"/>
        <w:jc w:val="both"/>
        <w:rPr>
          <w:rFonts w:asciiTheme="majorBidi" w:hAnsiTheme="majorBidi" w:cstheme="majorBidi"/>
          <w:sz w:val="24"/>
          <w:szCs w:val="24"/>
        </w:rPr>
      </w:pPr>
      <w:r w:rsidRPr="00FF1DE5">
        <w:rPr>
          <w:rFonts w:asciiTheme="majorBidi" w:hAnsiTheme="majorBidi" w:cstheme="majorBidi"/>
          <w:sz w:val="24"/>
          <w:szCs w:val="24"/>
        </w:rPr>
        <w:lastRenderedPageBreak/>
        <w:t>Takizawa E, Takizawa D, Al-</w:t>
      </w:r>
      <w:proofErr w:type="spellStart"/>
      <w:r w:rsidRPr="00FF1DE5">
        <w:rPr>
          <w:rFonts w:asciiTheme="majorBidi" w:hAnsiTheme="majorBidi" w:cstheme="majorBidi"/>
          <w:sz w:val="24"/>
          <w:szCs w:val="24"/>
        </w:rPr>
        <w:t>Jahdari</w:t>
      </w:r>
      <w:proofErr w:type="spellEnd"/>
      <w:r w:rsidRPr="00FF1DE5">
        <w:rPr>
          <w:rFonts w:asciiTheme="majorBidi" w:hAnsiTheme="majorBidi" w:cstheme="majorBidi"/>
          <w:sz w:val="24"/>
          <w:szCs w:val="24"/>
        </w:rPr>
        <w:t xml:space="preserve"> WS</w:t>
      </w:r>
      <w:r w:rsidR="00132481" w:rsidRPr="00FF1DE5">
        <w:rPr>
          <w:rFonts w:asciiTheme="majorBidi" w:hAnsiTheme="majorBidi" w:cstheme="majorBidi"/>
          <w:sz w:val="24"/>
          <w:szCs w:val="24"/>
        </w:rPr>
        <w:t>, Miyazaki M, Nakamura K, Yamamoto K</w:t>
      </w:r>
      <w:r w:rsidRPr="00FF1DE5">
        <w:rPr>
          <w:rFonts w:asciiTheme="majorBidi" w:hAnsiTheme="majorBidi" w:cstheme="majorBidi"/>
          <w:sz w:val="24"/>
          <w:szCs w:val="24"/>
        </w:rPr>
        <w:t>, et al.</w:t>
      </w:r>
      <w:r w:rsidR="00132481" w:rsidRPr="00FF1DE5">
        <w:rPr>
          <w:rFonts w:asciiTheme="majorBidi" w:hAnsiTheme="majorBidi" w:cstheme="majorBidi"/>
          <w:sz w:val="24"/>
          <w:szCs w:val="24"/>
        </w:rPr>
        <w:t xml:space="preserve"> Influence of Atropi</w:t>
      </w:r>
      <w:r w:rsidRPr="00FF1DE5">
        <w:rPr>
          <w:rFonts w:asciiTheme="majorBidi" w:hAnsiTheme="majorBidi" w:cstheme="majorBidi"/>
          <w:sz w:val="24"/>
          <w:szCs w:val="24"/>
        </w:rPr>
        <w:t xml:space="preserve">ne on the dose requirements of </w:t>
      </w:r>
      <w:proofErr w:type="spellStart"/>
      <w:r w:rsidRPr="00FF1DE5">
        <w:rPr>
          <w:rFonts w:asciiTheme="majorBidi" w:hAnsiTheme="majorBidi" w:cstheme="majorBidi"/>
          <w:sz w:val="24"/>
          <w:szCs w:val="24"/>
        </w:rPr>
        <w:t>p</w:t>
      </w:r>
      <w:r w:rsidR="00132481" w:rsidRPr="00FF1DE5">
        <w:rPr>
          <w:rFonts w:asciiTheme="majorBidi" w:hAnsiTheme="majorBidi" w:cstheme="majorBidi"/>
          <w:sz w:val="24"/>
          <w:szCs w:val="24"/>
        </w:rPr>
        <w:t>ropofol</w:t>
      </w:r>
      <w:proofErr w:type="spellEnd"/>
      <w:r w:rsidR="00132481" w:rsidRPr="00FF1DE5">
        <w:rPr>
          <w:rFonts w:asciiTheme="majorBidi" w:hAnsiTheme="majorBidi" w:cstheme="majorBidi"/>
          <w:sz w:val="24"/>
          <w:szCs w:val="24"/>
        </w:rPr>
        <w:t xml:space="preserve"> in humans. Drug </w:t>
      </w:r>
      <w:proofErr w:type="spellStart"/>
      <w:r w:rsidR="00132481" w:rsidRPr="00FF1DE5">
        <w:rPr>
          <w:rFonts w:asciiTheme="majorBidi" w:hAnsiTheme="majorBidi" w:cstheme="majorBidi"/>
          <w:sz w:val="24"/>
          <w:szCs w:val="24"/>
        </w:rPr>
        <w:t>Metab</w:t>
      </w:r>
      <w:proofErr w:type="spellEnd"/>
      <w:r w:rsidR="00132481" w:rsidRPr="00FF1DE5">
        <w:rPr>
          <w:rFonts w:asciiTheme="majorBidi" w:hAnsiTheme="majorBidi" w:cstheme="majorBidi"/>
          <w:sz w:val="24"/>
          <w:szCs w:val="24"/>
        </w:rPr>
        <w:t xml:space="preserve"> </w:t>
      </w:r>
      <w:proofErr w:type="spellStart"/>
      <w:r w:rsidR="00132481" w:rsidRPr="00FF1DE5">
        <w:rPr>
          <w:rFonts w:asciiTheme="majorBidi" w:hAnsiTheme="majorBidi" w:cstheme="majorBidi"/>
          <w:sz w:val="24"/>
          <w:szCs w:val="24"/>
        </w:rPr>
        <w:t>Pharmacokinet</w:t>
      </w:r>
      <w:proofErr w:type="spellEnd"/>
      <w:r w:rsidR="00132481" w:rsidRPr="00FF1DE5">
        <w:rPr>
          <w:rFonts w:asciiTheme="majorBidi" w:hAnsiTheme="majorBidi" w:cstheme="majorBidi"/>
          <w:sz w:val="24"/>
          <w:szCs w:val="24"/>
        </w:rPr>
        <w:t xml:space="preserve"> </w:t>
      </w:r>
      <w:r w:rsidRPr="00FF1DE5">
        <w:rPr>
          <w:rFonts w:asciiTheme="majorBidi" w:hAnsiTheme="majorBidi" w:cstheme="majorBidi"/>
          <w:sz w:val="24"/>
          <w:szCs w:val="24"/>
        </w:rPr>
        <w:t>2006;</w:t>
      </w:r>
      <w:r w:rsidR="00F440F7" w:rsidRPr="00FF1DE5">
        <w:rPr>
          <w:rFonts w:asciiTheme="majorBidi" w:hAnsiTheme="majorBidi" w:cstheme="majorBidi"/>
          <w:sz w:val="24"/>
          <w:szCs w:val="24"/>
        </w:rPr>
        <w:t xml:space="preserve"> </w:t>
      </w:r>
      <w:r w:rsidRPr="00FF1DE5">
        <w:rPr>
          <w:rFonts w:asciiTheme="majorBidi" w:hAnsiTheme="majorBidi" w:cstheme="majorBidi"/>
          <w:sz w:val="24"/>
          <w:szCs w:val="24"/>
        </w:rPr>
        <w:t>21(5):384-</w:t>
      </w:r>
      <w:r w:rsidR="00F440F7" w:rsidRPr="00FF1DE5">
        <w:rPr>
          <w:rFonts w:asciiTheme="majorBidi" w:hAnsiTheme="majorBidi" w:cstheme="majorBidi"/>
          <w:sz w:val="24"/>
          <w:szCs w:val="24"/>
        </w:rPr>
        <w:t>38</w:t>
      </w:r>
      <w:r w:rsidR="00132481" w:rsidRPr="00FF1DE5">
        <w:rPr>
          <w:rFonts w:asciiTheme="majorBidi" w:hAnsiTheme="majorBidi" w:cstheme="majorBidi"/>
          <w:sz w:val="24"/>
          <w:szCs w:val="24"/>
        </w:rPr>
        <w:t>8</w:t>
      </w:r>
      <w:r w:rsidRPr="00FF1DE5">
        <w:rPr>
          <w:rFonts w:asciiTheme="majorBidi" w:hAnsiTheme="majorBidi" w:cstheme="majorBidi"/>
          <w:sz w:val="24"/>
          <w:szCs w:val="24"/>
        </w:rPr>
        <w:t>.</w:t>
      </w:r>
    </w:p>
    <w:p w:rsidR="00132481" w:rsidRPr="00FF1DE5" w:rsidRDefault="00132481" w:rsidP="00132481">
      <w:pPr>
        <w:pStyle w:val="ListParagraph"/>
        <w:numPr>
          <w:ilvl w:val="0"/>
          <w:numId w:val="11"/>
        </w:numPr>
        <w:spacing w:line="480" w:lineRule="auto"/>
        <w:jc w:val="both"/>
        <w:rPr>
          <w:rFonts w:asciiTheme="majorBidi" w:hAnsiTheme="majorBidi" w:cstheme="majorBidi"/>
          <w:sz w:val="24"/>
          <w:szCs w:val="24"/>
        </w:rPr>
      </w:pPr>
      <w:proofErr w:type="spellStart"/>
      <w:r w:rsidRPr="00FF1DE5">
        <w:rPr>
          <w:rFonts w:asciiTheme="majorBidi" w:hAnsiTheme="majorBidi" w:cstheme="majorBidi"/>
          <w:sz w:val="24"/>
          <w:szCs w:val="24"/>
        </w:rPr>
        <w:t>G</w:t>
      </w:r>
      <w:r w:rsidR="00F440F7" w:rsidRPr="00FF1DE5">
        <w:rPr>
          <w:rFonts w:asciiTheme="majorBidi" w:hAnsiTheme="majorBidi" w:cstheme="majorBidi"/>
          <w:sz w:val="24"/>
          <w:szCs w:val="24"/>
        </w:rPr>
        <w:t>audry</w:t>
      </w:r>
      <w:proofErr w:type="spellEnd"/>
      <w:r w:rsidR="00F440F7" w:rsidRPr="00FF1DE5">
        <w:rPr>
          <w:rFonts w:asciiTheme="majorBidi" w:hAnsiTheme="majorBidi" w:cstheme="majorBidi"/>
          <w:sz w:val="24"/>
          <w:szCs w:val="24"/>
        </w:rPr>
        <w:t xml:space="preserve"> E, </w:t>
      </w:r>
      <w:proofErr w:type="spellStart"/>
      <w:r w:rsidR="00F440F7" w:rsidRPr="00FF1DE5">
        <w:rPr>
          <w:rFonts w:asciiTheme="majorBidi" w:hAnsiTheme="majorBidi" w:cstheme="majorBidi"/>
          <w:sz w:val="24"/>
          <w:szCs w:val="24"/>
        </w:rPr>
        <w:t>Vagg</w:t>
      </w:r>
      <w:proofErr w:type="spellEnd"/>
      <w:r w:rsidR="00F440F7" w:rsidRPr="00FF1DE5">
        <w:rPr>
          <w:rFonts w:asciiTheme="majorBidi" w:hAnsiTheme="majorBidi" w:cstheme="majorBidi"/>
          <w:sz w:val="24"/>
          <w:szCs w:val="24"/>
        </w:rPr>
        <w:t xml:space="preserve"> P and</w:t>
      </w:r>
      <w:r w:rsidR="00394878" w:rsidRPr="00FF1DE5">
        <w:rPr>
          <w:rFonts w:asciiTheme="majorBidi" w:hAnsiTheme="majorBidi" w:cstheme="majorBidi"/>
          <w:sz w:val="24"/>
          <w:szCs w:val="24"/>
        </w:rPr>
        <w:t xml:space="preserve"> </w:t>
      </w:r>
      <w:proofErr w:type="spellStart"/>
      <w:r w:rsidR="00394878" w:rsidRPr="00FF1DE5">
        <w:rPr>
          <w:rFonts w:asciiTheme="majorBidi" w:hAnsiTheme="majorBidi" w:cstheme="majorBidi"/>
          <w:sz w:val="24"/>
          <w:szCs w:val="24"/>
        </w:rPr>
        <w:t>Spielberger</w:t>
      </w:r>
      <w:proofErr w:type="spellEnd"/>
      <w:r w:rsidR="00394878" w:rsidRPr="00FF1DE5">
        <w:rPr>
          <w:rFonts w:asciiTheme="majorBidi" w:hAnsiTheme="majorBidi" w:cstheme="majorBidi"/>
          <w:sz w:val="24"/>
          <w:szCs w:val="24"/>
        </w:rPr>
        <w:t xml:space="preserve"> CD.</w:t>
      </w:r>
      <w:r w:rsidRPr="00FF1DE5">
        <w:rPr>
          <w:rFonts w:asciiTheme="majorBidi" w:hAnsiTheme="majorBidi" w:cstheme="majorBidi"/>
          <w:sz w:val="24"/>
          <w:szCs w:val="24"/>
        </w:rPr>
        <w:t xml:space="preserve"> Validation of the state-trait distinction in anxiety research. Multivariate </w:t>
      </w:r>
      <w:proofErr w:type="spellStart"/>
      <w:r w:rsidRPr="00FF1DE5">
        <w:rPr>
          <w:rFonts w:asciiTheme="majorBidi" w:hAnsiTheme="majorBidi" w:cstheme="majorBidi"/>
          <w:sz w:val="24"/>
          <w:szCs w:val="24"/>
        </w:rPr>
        <w:t>Behav</w:t>
      </w:r>
      <w:proofErr w:type="spellEnd"/>
      <w:r w:rsidRPr="00FF1DE5">
        <w:rPr>
          <w:rFonts w:asciiTheme="majorBidi" w:hAnsiTheme="majorBidi" w:cstheme="majorBidi"/>
          <w:sz w:val="24"/>
          <w:szCs w:val="24"/>
        </w:rPr>
        <w:t xml:space="preserve"> Res 1975;</w:t>
      </w:r>
      <w:r w:rsidR="00F440F7" w:rsidRPr="00FF1DE5">
        <w:rPr>
          <w:rFonts w:asciiTheme="majorBidi" w:hAnsiTheme="majorBidi" w:cstheme="majorBidi"/>
          <w:sz w:val="24"/>
          <w:szCs w:val="24"/>
        </w:rPr>
        <w:t xml:space="preserve"> </w:t>
      </w:r>
      <w:r w:rsidRPr="00FF1DE5">
        <w:rPr>
          <w:rFonts w:asciiTheme="majorBidi" w:hAnsiTheme="majorBidi" w:cstheme="majorBidi"/>
          <w:sz w:val="24"/>
          <w:szCs w:val="24"/>
        </w:rPr>
        <w:t>10</w:t>
      </w:r>
      <w:r w:rsidR="00394878" w:rsidRPr="00FF1DE5">
        <w:rPr>
          <w:rFonts w:asciiTheme="majorBidi" w:hAnsiTheme="majorBidi" w:cstheme="majorBidi"/>
          <w:sz w:val="24"/>
          <w:szCs w:val="24"/>
        </w:rPr>
        <w:t>(3)</w:t>
      </w:r>
      <w:r w:rsidRPr="00FF1DE5">
        <w:rPr>
          <w:rFonts w:asciiTheme="majorBidi" w:hAnsiTheme="majorBidi" w:cstheme="majorBidi"/>
          <w:sz w:val="24"/>
          <w:szCs w:val="24"/>
        </w:rPr>
        <w:t>:331-341</w:t>
      </w:r>
      <w:r w:rsidR="00394878" w:rsidRPr="00FF1DE5">
        <w:rPr>
          <w:rFonts w:asciiTheme="majorBidi" w:hAnsiTheme="majorBidi" w:cstheme="majorBidi"/>
          <w:sz w:val="24"/>
          <w:szCs w:val="24"/>
        </w:rPr>
        <w:t>.</w:t>
      </w:r>
    </w:p>
    <w:p w:rsidR="00132481" w:rsidRPr="00FF1DE5" w:rsidRDefault="00F440F7" w:rsidP="00132481">
      <w:pPr>
        <w:numPr>
          <w:ilvl w:val="0"/>
          <w:numId w:val="11"/>
        </w:numPr>
        <w:tabs>
          <w:tab w:val="left" w:pos="217"/>
        </w:tabs>
        <w:spacing w:after="0" w:line="480" w:lineRule="auto"/>
        <w:ind w:right="20"/>
        <w:jc w:val="both"/>
        <w:rPr>
          <w:rFonts w:asciiTheme="majorBidi" w:hAnsiTheme="majorBidi" w:cstheme="majorBidi"/>
          <w:sz w:val="24"/>
          <w:szCs w:val="24"/>
        </w:rPr>
      </w:pPr>
      <w:proofErr w:type="spellStart"/>
      <w:r w:rsidRPr="00FF1DE5">
        <w:rPr>
          <w:rStyle w:val="Bodytext4"/>
          <w:rFonts w:asciiTheme="majorBidi" w:hAnsiTheme="majorBidi" w:cstheme="majorBidi"/>
          <w:sz w:val="24"/>
          <w:szCs w:val="24"/>
        </w:rPr>
        <w:t>Bergamaschi</w:t>
      </w:r>
      <w:proofErr w:type="spellEnd"/>
      <w:r w:rsidRPr="00FF1DE5">
        <w:rPr>
          <w:rStyle w:val="Bodytext4"/>
          <w:rFonts w:asciiTheme="majorBidi" w:hAnsiTheme="majorBidi" w:cstheme="majorBidi"/>
          <w:sz w:val="24"/>
          <w:szCs w:val="24"/>
        </w:rPr>
        <w:t xml:space="preserve"> M and</w:t>
      </w:r>
      <w:r w:rsidR="00132481" w:rsidRPr="00FF1DE5">
        <w:rPr>
          <w:rStyle w:val="Bodytext4"/>
          <w:rFonts w:asciiTheme="majorBidi" w:hAnsiTheme="majorBidi" w:cstheme="majorBidi"/>
          <w:sz w:val="24"/>
          <w:szCs w:val="24"/>
        </w:rPr>
        <w:t xml:space="preserve"> </w:t>
      </w:r>
      <w:proofErr w:type="spellStart"/>
      <w:r w:rsidR="00132481" w:rsidRPr="00FF1DE5">
        <w:rPr>
          <w:rStyle w:val="Bodytext4"/>
          <w:rFonts w:asciiTheme="majorBidi" w:hAnsiTheme="majorBidi" w:cstheme="majorBidi"/>
          <w:sz w:val="24"/>
          <w:szCs w:val="24"/>
        </w:rPr>
        <w:t>Longoni</w:t>
      </w:r>
      <w:proofErr w:type="spellEnd"/>
      <w:r w:rsidR="00132481" w:rsidRPr="00FF1DE5">
        <w:rPr>
          <w:rStyle w:val="Bodytext4"/>
          <w:rFonts w:asciiTheme="majorBidi" w:hAnsiTheme="majorBidi" w:cstheme="majorBidi"/>
          <w:sz w:val="24"/>
          <w:szCs w:val="24"/>
        </w:rPr>
        <w:t xml:space="preserve"> AM. Cardiovascular events in anxiety: experimental studies in the conscious dog. Am Heart J 1973;</w:t>
      </w:r>
      <w:r w:rsidRPr="00FF1DE5">
        <w:rPr>
          <w:rStyle w:val="Bodytext4"/>
          <w:rFonts w:asciiTheme="majorBidi" w:hAnsiTheme="majorBidi" w:cstheme="majorBidi"/>
          <w:sz w:val="24"/>
          <w:szCs w:val="24"/>
        </w:rPr>
        <w:t xml:space="preserve"> </w:t>
      </w:r>
      <w:r w:rsidR="00132481" w:rsidRPr="00FF1DE5">
        <w:rPr>
          <w:rStyle w:val="Bodytext4"/>
          <w:rFonts w:asciiTheme="majorBidi" w:hAnsiTheme="majorBidi" w:cstheme="majorBidi"/>
          <w:sz w:val="24"/>
          <w:szCs w:val="24"/>
        </w:rPr>
        <w:t>86:385-</w:t>
      </w:r>
      <w:r w:rsidRPr="00FF1DE5">
        <w:rPr>
          <w:rStyle w:val="Bodytext4"/>
          <w:rFonts w:asciiTheme="majorBidi" w:hAnsiTheme="majorBidi" w:cstheme="majorBidi"/>
          <w:sz w:val="24"/>
          <w:szCs w:val="24"/>
        </w:rPr>
        <w:t>3</w:t>
      </w:r>
      <w:r w:rsidR="00132481" w:rsidRPr="00FF1DE5">
        <w:rPr>
          <w:rStyle w:val="Bodytext4"/>
          <w:rFonts w:asciiTheme="majorBidi" w:hAnsiTheme="majorBidi" w:cstheme="majorBidi"/>
          <w:sz w:val="24"/>
          <w:szCs w:val="24"/>
        </w:rPr>
        <w:t>94</w:t>
      </w:r>
      <w:r w:rsidR="00394878" w:rsidRPr="00FF1DE5">
        <w:rPr>
          <w:rStyle w:val="Bodytext4"/>
          <w:rFonts w:asciiTheme="majorBidi" w:hAnsiTheme="majorBidi" w:cstheme="majorBidi"/>
          <w:sz w:val="24"/>
          <w:szCs w:val="24"/>
        </w:rPr>
        <w:t>.</w:t>
      </w:r>
    </w:p>
    <w:p w:rsidR="00132481" w:rsidRDefault="00132481" w:rsidP="00132481">
      <w:pPr>
        <w:numPr>
          <w:ilvl w:val="0"/>
          <w:numId w:val="11"/>
        </w:numPr>
        <w:autoSpaceDE w:val="0"/>
        <w:autoSpaceDN w:val="0"/>
        <w:adjustRightInd w:val="0"/>
        <w:spacing w:after="0" w:line="480" w:lineRule="auto"/>
        <w:jc w:val="both"/>
        <w:rPr>
          <w:rStyle w:val="Bodytext4"/>
          <w:rFonts w:asciiTheme="majorBidi" w:hAnsiTheme="majorBidi" w:cstheme="majorBidi"/>
          <w:sz w:val="24"/>
          <w:szCs w:val="24"/>
        </w:rPr>
      </w:pPr>
      <w:r w:rsidRPr="00FF1DE5">
        <w:rPr>
          <w:rStyle w:val="Bodytext4"/>
          <w:rFonts w:asciiTheme="majorBidi" w:hAnsiTheme="majorBidi" w:cstheme="majorBidi"/>
          <w:sz w:val="24"/>
          <w:szCs w:val="24"/>
        </w:rPr>
        <w:t>Fell D, Derbyshire D</w:t>
      </w:r>
      <w:r w:rsidR="00394878" w:rsidRPr="00FF1DE5">
        <w:rPr>
          <w:rStyle w:val="Bodytext4"/>
          <w:rFonts w:asciiTheme="majorBidi" w:hAnsiTheme="majorBidi" w:cstheme="majorBidi"/>
          <w:sz w:val="24"/>
          <w:szCs w:val="24"/>
        </w:rPr>
        <w:t>R</w:t>
      </w:r>
      <w:r w:rsidRPr="00FF1DE5">
        <w:rPr>
          <w:rStyle w:val="Bodytext4"/>
          <w:rFonts w:asciiTheme="majorBidi" w:hAnsiTheme="majorBidi" w:cstheme="majorBidi"/>
          <w:sz w:val="24"/>
          <w:szCs w:val="24"/>
        </w:rPr>
        <w:t xml:space="preserve">, </w:t>
      </w:r>
      <w:proofErr w:type="spellStart"/>
      <w:r w:rsidRPr="00FF1DE5">
        <w:rPr>
          <w:rStyle w:val="Bodytext4"/>
          <w:rFonts w:asciiTheme="majorBidi" w:hAnsiTheme="majorBidi" w:cstheme="majorBidi"/>
          <w:sz w:val="24"/>
          <w:szCs w:val="24"/>
        </w:rPr>
        <w:t>Maile</w:t>
      </w:r>
      <w:proofErr w:type="spellEnd"/>
      <w:r w:rsidRPr="00FF1DE5">
        <w:rPr>
          <w:rStyle w:val="Bodytext4"/>
          <w:rFonts w:asciiTheme="majorBidi" w:hAnsiTheme="majorBidi" w:cstheme="majorBidi"/>
          <w:sz w:val="24"/>
          <w:szCs w:val="24"/>
        </w:rPr>
        <w:t xml:space="preserve"> C</w:t>
      </w:r>
      <w:r w:rsidR="00394878" w:rsidRPr="00FF1DE5">
        <w:rPr>
          <w:rStyle w:val="Bodytext4"/>
          <w:rFonts w:asciiTheme="majorBidi" w:hAnsiTheme="majorBidi" w:cstheme="majorBidi"/>
          <w:sz w:val="24"/>
          <w:szCs w:val="24"/>
        </w:rPr>
        <w:t>JD</w:t>
      </w:r>
      <w:r w:rsidRPr="00FF1DE5">
        <w:rPr>
          <w:rStyle w:val="Bodytext4"/>
          <w:rFonts w:asciiTheme="majorBidi" w:hAnsiTheme="majorBidi" w:cstheme="majorBidi"/>
          <w:sz w:val="24"/>
          <w:szCs w:val="24"/>
        </w:rPr>
        <w:t>, Larsson I</w:t>
      </w:r>
      <w:r w:rsidR="00394878" w:rsidRPr="00FF1DE5">
        <w:rPr>
          <w:rStyle w:val="Bodytext4"/>
          <w:rFonts w:asciiTheme="majorBidi" w:hAnsiTheme="majorBidi" w:cstheme="majorBidi"/>
          <w:sz w:val="24"/>
          <w:szCs w:val="24"/>
        </w:rPr>
        <w:t>M</w:t>
      </w:r>
      <w:r w:rsidRPr="00FF1DE5">
        <w:rPr>
          <w:rStyle w:val="Bodytext4"/>
          <w:rFonts w:asciiTheme="majorBidi" w:hAnsiTheme="majorBidi" w:cstheme="majorBidi"/>
          <w:sz w:val="24"/>
          <w:szCs w:val="24"/>
        </w:rPr>
        <w:t xml:space="preserve">, Ellis R, </w:t>
      </w:r>
      <w:proofErr w:type="spellStart"/>
      <w:r w:rsidRPr="00FF1DE5">
        <w:rPr>
          <w:rStyle w:val="Bodytext4"/>
          <w:rFonts w:asciiTheme="majorBidi" w:hAnsiTheme="majorBidi" w:cstheme="majorBidi"/>
          <w:sz w:val="24"/>
          <w:szCs w:val="24"/>
        </w:rPr>
        <w:t>Achola</w:t>
      </w:r>
      <w:proofErr w:type="spellEnd"/>
      <w:r w:rsidRPr="00FF1DE5">
        <w:rPr>
          <w:rStyle w:val="Bodytext4"/>
          <w:rFonts w:asciiTheme="majorBidi" w:hAnsiTheme="majorBidi" w:cstheme="majorBidi"/>
          <w:sz w:val="24"/>
          <w:szCs w:val="24"/>
        </w:rPr>
        <w:t xml:space="preserve"> K</w:t>
      </w:r>
      <w:r w:rsidR="00394878" w:rsidRPr="00FF1DE5">
        <w:rPr>
          <w:rStyle w:val="Bodytext4"/>
          <w:rFonts w:asciiTheme="majorBidi" w:hAnsiTheme="majorBidi" w:cstheme="majorBidi"/>
          <w:sz w:val="24"/>
          <w:szCs w:val="24"/>
        </w:rPr>
        <w:t>J, et al</w:t>
      </w:r>
      <w:r w:rsidRPr="00FF1DE5">
        <w:rPr>
          <w:rStyle w:val="Bodytext4"/>
          <w:rFonts w:asciiTheme="majorBidi" w:hAnsiTheme="majorBidi" w:cstheme="majorBidi"/>
          <w:sz w:val="24"/>
          <w:szCs w:val="24"/>
        </w:rPr>
        <w:t>. Measurement of plasma catecholamine concentrations</w:t>
      </w:r>
      <w:r w:rsidR="00394878" w:rsidRPr="00FF1DE5">
        <w:rPr>
          <w:rStyle w:val="Bodytext4"/>
          <w:rFonts w:asciiTheme="majorBidi" w:hAnsiTheme="majorBidi" w:cstheme="majorBidi"/>
          <w:sz w:val="24"/>
          <w:szCs w:val="24"/>
        </w:rPr>
        <w:t>:</w:t>
      </w:r>
      <w:r w:rsidRPr="00FF1DE5">
        <w:rPr>
          <w:rStyle w:val="Bodytext4"/>
          <w:rFonts w:asciiTheme="majorBidi" w:hAnsiTheme="majorBidi" w:cstheme="majorBidi"/>
          <w:sz w:val="24"/>
          <w:szCs w:val="24"/>
        </w:rPr>
        <w:t xml:space="preserve"> An assessment of anxiety. Br J </w:t>
      </w:r>
      <w:proofErr w:type="spellStart"/>
      <w:r w:rsidRPr="00FF1DE5">
        <w:rPr>
          <w:rStyle w:val="Bodytext4"/>
          <w:rFonts w:asciiTheme="majorBidi" w:hAnsiTheme="majorBidi" w:cstheme="majorBidi"/>
          <w:sz w:val="24"/>
          <w:szCs w:val="24"/>
        </w:rPr>
        <w:t>Anaesth</w:t>
      </w:r>
      <w:proofErr w:type="spellEnd"/>
      <w:r w:rsidRPr="00FF1DE5">
        <w:rPr>
          <w:rStyle w:val="Bodytext4"/>
          <w:rFonts w:asciiTheme="majorBidi" w:hAnsiTheme="majorBidi" w:cstheme="majorBidi"/>
          <w:sz w:val="24"/>
          <w:szCs w:val="24"/>
        </w:rPr>
        <w:t xml:space="preserve"> 1985;</w:t>
      </w:r>
      <w:r w:rsidR="00F440F7" w:rsidRPr="00FF1DE5">
        <w:rPr>
          <w:rStyle w:val="Bodytext4"/>
          <w:rFonts w:asciiTheme="majorBidi" w:hAnsiTheme="majorBidi" w:cstheme="majorBidi"/>
          <w:sz w:val="24"/>
          <w:szCs w:val="24"/>
        </w:rPr>
        <w:t xml:space="preserve"> </w:t>
      </w:r>
      <w:r w:rsidRPr="00FF1DE5">
        <w:rPr>
          <w:rStyle w:val="Bodytext4"/>
          <w:rFonts w:asciiTheme="majorBidi" w:hAnsiTheme="majorBidi" w:cstheme="majorBidi"/>
          <w:sz w:val="24"/>
          <w:szCs w:val="24"/>
        </w:rPr>
        <w:t>57</w:t>
      </w:r>
      <w:r w:rsidR="00394878" w:rsidRPr="00FF1DE5">
        <w:rPr>
          <w:rStyle w:val="Bodytext4"/>
          <w:rFonts w:asciiTheme="majorBidi" w:hAnsiTheme="majorBidi" w:cstheme="majorBidi"/>
          <w:sz w:val="24"/>
          <w:szCs w:val="24"/>
        </w:rPr>
        <w:t>(8)</w:t>
      </w:r>
      <w:r w:rsidRPr="00FF1DE5">
        <w:rPr>
          <w:rStyle w:val="Bodytext4"/>
          <w:rFonts w:asciiTheme="majorBidi" w:hAnsiTheme="majorBidi" w:cstheme="majorBidi"/>
          <w:sz w:val="24"/>
          <w:szCs w:val="24"/>
        </w:rPr>
        <w:t>:770-</w:t>
      </w:r>
      <w:r w:rsidR="00F440F7" w:rsidRPr="00FF1DE5">
        <w:rPr>
          <w:rStyle w:val="Bodytext4"/>
          <w:rFonts w:asciiTheme="majorBidi" w:hAnsiTheme="majorBidi" w:cstheme="majorBidi"/>
          <w:sz w:val="24"/>
          <w:szCs w:val="24"/>
        </w:rPr>
        <w:t>77</w:t>
      </w:r>
      <w:r w:rsidRPr="00FF1DE5">
        <w:rPr>
          <w:rStyle w:val="Bodytext4"/>
          <w:rFonts w:asciiTheme="majorBidi" w:hAnsiTheme="majorBidi" w:cstheme="majorBidi"/>
          <w:sz w:val="24"/>
          <w:szCs w:val="24"/>
        </w:rPr>
        <w:t>4.</w:t>
      </w:r>
    </w:p>
    <w:p w:rsidR="00502858" w:rsidRPr="00FF1DE5" w:rsidRDefault="009064FD" w:rsidP="00132481">
      <w:pPr>
        <w:numPr>
          <w:ilvl w:val="0"/>
          <w:numId w:val="11"/>
        </w:numPr>
        <w:autoSpaceDE w:val="0"/>
        <w:autoSpaceDN w:val="0"/>
        <w:adjustRightInd w:val="0"/>
        <w:spacing w:after="0" w:line="480" w:lineRule="auto"/>
        <w:jc w:val="both"/>
        <w:rPr>
          <w:rStyle w:val="Bodytext4"/>
          <w:rFonts w:asciiTheme="majorBidi" w:hAnsiTheme="majorBidi" w:cstheme="majorBidi"/>
          <w:sz w:val="24"/>
          <w:szCs w:val="24"/>
        </w:rPr>
      </w:pPr>
      <w:hyperlink r:id="rId10" w:history="1">
        <w:proofErr w:type="spellStart"/>
        <w:r w:rsidR="00BA797E" w:rsidRPr="00054B27">
          <w:rPr>
            <w:rStyle w:val="Hyperlink"/>
            <w:rFonts w:ascii="Times New Roman" w:hAnsi="Times New Roman" w:cs="Times New Roman"/>
            <w:color w:val="auto"/>
            <w:sz w:val="24"/>
            <w:szCs w:val="24"/>
            <w:u w:val="none"/>
          </w:rPr>
          <w:t>Seifu</w:t>
        </w:r>
        <w:proofErr w:type="spellEnd"/>
        <w:r w:rsidR="00BA797E" w:rsidRPr="00054B27">
          <w:rPr>
            <w:rStyle w:val="Hyperlink"/>
            <w:rFonts w:ascii="Times New Roman" w:hAnsi="Times New Roman" w:cs="Times New Roman"/>
            <w:color w:val="auto"/>
            <w:sz w:val="24"/>
            <w:szCs w:val="24"/>
            <w:u w:val="none"/>
          </w:rPr>
          <w:t xml:space="preserve"> </w:t>
        </w:r>
        <w:proofErr w:type="spellStart"/>
        <w:r w:rsidR="00BA797E" w:rsidRPr="00054B27">
          <w:rPr>
            <w:rStyle w:val="Hyperlink"/>
            <w:rFonts w:ascii="Times New Roman" w:hAnsi="Times New Roman" w:cs="Times New Roman"/>
            <w:color w:val="auto"/>
            <w:sz w:val="24"/>
            <w:szCs w:val="24"/>
            <w:u w:val="none"/>
          </w:rPr>
          <w:t>Nigussie</w:t>
        </w:r>
        <w:proofErr w:type="spellEnd"/>
      </w:hyperlink>
      <w:r w:rsidR="00BA797E" w:rsidRPr="00054B27">
        <w:rPr>
          <w:rFonts w:ascii="Times New Roman" w:hAnsi="Times New Roman" w:cs="Times New Roman"/>
          <w:sz w:val="24"/>
          <w:szCs w:val="24"/>
        </w:rPr>
        <w:t xml:space="preserve">, </w:t>
      </w:r>
      <w:hyperlink r:id="rId11" w:history="1">
        <w:proofErr w:type="spellStart"/>
        <w:r w:rsidR="00BA797E" w:rsidRPr="00054B27">
          <w:rPr>
            <w:rStyle w:val="Hyperlink"/>
            <w:rFonts w:ascii="Times New Roman" w:hAnsi="Times New Roman" w:cs="Times New Roman"/>
            <w:color w:val="auto"/>
            <w:sz w:val="24"/>
            <w:szCs w:val="24"/>
            <w:u w:val="none"/>
          </w:rPr>
          <w:t>Tefera</w:t>
        </w:r>
        <w:proofErr w:type="spellEnd"/>
        <w:r w:rsidR="00BA797E" w:rsidRPr="00054B27">
          <w:rPr>
            <w:rStyle w:val="Hyperlink"/>
            <w:rFonts w:ascii="Times New Roman" w:hAnsi="Times New Roman" w:cs="Times New Roman"/>
            <w:color w:val="auto"/>
            <w:sz w:val="24"/>
            <w:szCs w:val="24"/>
            <w:u w:val="none"/>
          </w:rPr>
          <w:t xml:space="preserve"> </w:t>
        </w:r>
        <w:proofErr w:type="spellStart"/>
        <w:r w:rsidR="00BA797E" w:rsidRPr="00054B27">
          <w:rPr>
            <w:rStyle w:val="Hyperlink"/>
            <w:rFonts w:ascii="Times New Roman" w:hAnsi="Times New Roman" w:cs="Times New Roman"/>
            <w:color w:val="auto"/>
            <w:sz w:val="24"/>
            <w:szCs w:val="24"/>
            <w:u w:val="none"/>
          </w:rPr>
          <w:t>Belachew</w:t>
        </w:r>
        <w:proofErr w:type="spellEnd"/>
      </w:hyperlink>
      <w:r w:rsidR="00BA797E" w:rsidRPr="00054B27">
        <w:rPr>
          <w:rFonts w:ascii="Times New Roman" w:hAnsi="Times New Roman" w:cs="Times New Roman"/>
          <w:sz w:val="24"/>
          <w:szCs w:val="24"/>
        </w:rPr>
        <w:t xml:space="preserve"> and </w:t>
      </w:r>
      <w:hyperlink r:id="rId12" w:history="1">
        <w:proofErr w:type="spellStart"/>
        <w:r w:rsidR="00BA797E" w:rsidRPr="00054B27">
          <w:rPr>
            <w:rStyle w:val="Hyperlink"/>
            <w:rFonts w:ascii="Times New Roman" w:hAnsi="Times New Roman" w:cs="Times New Roman"/>
            <w:color w:val="auto"/>
            <w:sz w:val="24"/>
            <w:szCs w:val="24"/>
            <w:u w:val="none"/>
          </w:rPr>
          <w:t>Wadu</w:t>
        </w:r>
        <w:proofErr w:type="spellEnd"/>
        <w:r w:rsidR="00BA797E" w:rsidRPr="00054B27">
          <w:rPr>
            <w:rStyle w:val="Hyperlink"/>
            <w:rFonts w:ascii="Times New Roman" w:hAnsi="Times New Roman" w:cs="Times New Roman"/>
            <w:color w:val="auto"/>
            <w:sz w:val="24"/>
            <w:szCs w:val="24"/>
            <w:u w:val="none"/>
          </w:rPr>
          <w:t xml:space="preserve"> </w:t>
        </w:r>
        <w:proofErr w:type="spellStart"/>
        <w:r w:rsidR="00BA797E" w:rsidRPr="00054B27">
          <w:rPr>
            <w:rStyle w:val="Hyperlink"/>
            <w:rFonts w:ascii="Times New Roman" w:hAnsi="Times New Roman" w:cs="Times New Roman"/>
            <w:color w:val="auto"/>
            <w:sz w:val="24"/>
            <w:szCs w:val="24"/>
            <w:u w:val="none"/>
          </w:rPr>
          <w:t>Wolancho</w:t>
        </w:r>
        <w:proofErr w:type="spellEnd"/>
      </w:hyperlink>
      <w:r w:rsidR="00BA797E">
        <w:rPr>
          <w:rFonts w:ascii="Times New Roman" w:hAnsi="Times New Roman" w:cs="Times New Roman"/>
          <w:sz w:val="24"/>
          <w:szCs w:val="24"/>
        </w:rPr>
        <w:t xml:space="preserve">. Predictors of preoperative anxiety among surgical patients in </w:t>
      </w:r>
      <w:proofErr w:type="spellStart"/>
      <w:r w:rsidR="00BA797E">
        <w:rPr>
          <w:rFonts w:ascii="Times New Roman" w:hAnsi="Times New Roman" w:cs="Times New Roman"/>
          <w:sz w:val="24"/>
          <w:szCs w:val="24"/>
        </w:rPr>
        <w:t>Jimma</w:t>
      </w:r>
      <w:proofErr w:type="spellEnd"/>
      <w:r w:rsidR="00BA797E">
        <w:rPr>
          <w:rFonts w:ascii="Times New Roman" w:hAnsi="Times New Roman" w:cs="Times New Roman"/>
          <w:sz w:val="24"/>
          <w:szCs w:val="24"/>
        </w:rPr>
        <w:t xml:space="preserve"> University Specialized Teaching Hospital, South Western Ethiopia. BMC </w:t>
      </w:r>
      <w:proofErr w:type="spellStart"/>
      <w:r w:rsidR="00BA797E">
        <w:rPr>
          <w:rFonts w:ascii="Times New Roman" w:hAnsi="Times New Roman" w:cs="Times New Roman"/>
          <w:sz w:val="24"/>
          <w:szCs w:val="24"/>
        </w:rPr>
        <w:t>Surg</w:t>
      </w:r>
      <w:proofErr w:type="spellEnd"/>
      <w:r w:rsidR="00BA797E">
        <w:rPr>
          <w:rFonts w:ascii="Times New Roman" w:hAnsi="Times New Roman" w:cs="Times New Roman"/>
          <w:sz w:val="24"/>
          <w:szCs w:val="24"/>
        </w:rPr>
        <w:t xml:space="preserve"> 2014; 14:67.</w:t>
      </w:r>
    </w:p>
    <w:p w:rsidR="00D83650" w:rsidRDefault="00D83650" w:rsidP="00D83650">
      <w:pPr>
        <w:autoSpaceDE w:val="0"/>
        <w:autoSpaceDN w:val="0"/>
        <w:adjustRightInd w:val="0"/>
        <w:spacing w:after="0" w:line="480" w:lineRule="auto"/>
        <w:jc w:val="both"/>
        <w:rPr>
          <w:rStyle w:val="Bodytext4"/>
          <w:rFonts w:asciiTheme="majorBidi" w:hAnsiTheme="majorBidi" w:cstheme="majorBidi"/>
          <w:sz w:val="22"/>
          <w:szCs w:val="22"/>
        </w:rPr>
      </w:pPr>
    </w:p>
    <w:p w:rsidR="00171226" w:rsidRDefault="00171226" w:rsidP="00D83650">
      <w:pPr>
        <w:autoSpaceDE w:val="0"/>
        <w:autoSpaceDN w:val="0"/>
        <w:adjustRightInd w:val="0"/>
        <w:spacing w:after="0" w:line="480" w:lineRule="auto"/>
        <w:jc w:val="both"/>
        <w:rPr>
          <w:rStyle w:val="Bodytext4"/>
          <w:rFonts w:asciiTheme="majorBidi" w:hAnsiTheme="majorBidi" w:cstheme="majorBidi"/>
          <w:sz w:val="22"/>
          <w:szCs w:val="22"/>
        </w:rPr>
      </w:pPr>
    </w:p>
    <w:p w:rsidR="00171226" w:rsidRDefault="00171226" w:rsidP="00D83650">
      <w:pPr>
        <w:autoSpaceDE w:val="0"/>
        <w:autoSpaceDN w:val="0"/>
        <w:adjustRightInd w:val="0"/>
        <w:spacing w:after="0" w:line="480" w:lineRule="auto"/>
        <w:jc w:val="both"/>
        <w:rPr>
          <w:rStyle w:val="Bodytext4"/>
          <w:rFonts w:asciiTheme="majorBidi" w:hAnsiTheme="majorBidi" w:cstheme="majorBidi"/>
          <w:sz w:val="22"/>
          <w:szCs w:val="22"/>
        </w:rPr>
      </w:pPr>
    </w:p>
    <w:p w:rsidR="00171226" w:rsidRDefault="00171226" w:rsidP="00D83650">
      <w:pPr>
        <w:autoSpaceDE w:val="0"/>
        <w:autoSpaceDN w:val="0"/>
        <w:adjustRightInd w:val="0"/>
        <w:spacing w:after="0" w:line="480" w:lineRule="auto"/>
        <w:jc w:val="both"/>
        <w:rPr>
          <w:rStyle w:val="Bodytext4"/>
          <w:rFonts w:asciiTheme="majorBidi" w:hAnsiTheme="majorBidi" w:cstheme="majorBidi"/>
          <w:sz w:val="22"/>
          <w:szCs w:val="22"/>
        </w:rPr>
      </w:pPr>
    </w:p>
    <w:p w:rsidR="00171226" w:rsidRDefault="00171226" w:rsidP="00D83650">
      <w:pPr>
        <w:autoSpaceDE w:val="0"/>
        <w:autoSpaceDN w:val="0"/>
        <w:adjustRightInd w:val="0"/>
        <w:spacing w:after="0" w:line="480" w:lineRule="auto"/>
        <w:jc w:val="both"/>
        <w:rPr>
          <w:rStyle w:val="Bodytext4"/>
          <w:rFonts w:asciiTheme="majorBidi" w:hAnsiTheme="majorBidi" w:cstheme="majorBidi"/>
          <w:sz w:val="22"/>
          <w:szCs w:val="22"/>
        </w:rPr>
      </w:pPr>
    </w:p>
    <w:p w:rsidR="00D83650" w:rsidRDefault="00D83650" w:rsidP="00D83650">
      <w:pPr>
        <w:autoSpaceDE w:val="0"/>
        <w:autoSpaceDN w:val="0"/>
        <w:adjustRightInd w:val="0"/>
        <w:spacing w:after="0" w:line="480" w:lineRule="auto"/>
        <w:jc w:val="both"/>
        <w:rPr>
          <w:rStyle w:val="Bodytext4"/>
          <w:rFonts w:asciiTheme="majorBidi" w:hAnsiTheme="majorBidi" w:cstheme="majorBidi"/>
          <w:sz w:val="22"/>
          <w:szCs w:val="22"/>
        </w:rPr>
      </w:pPr>
    </w:p>
    <w:p w:rsidR="00D83650" w:rsidRDefault="00D83650" w:rsidP="00D83650">
      <w:pPr>
        <w:autoSpaceDE w:val="0"/>
        <w:autoSpaceDN w:val="0"/>
        <w:adjustRightInd w:val="0"/>
        <w:spacing w:after="0" w:line="480" w:lineRule="auto"/>
        <w:jc w:val="both"/>
        <w:rPr>
          <w:rStyle w:val="Bodytext4"/>
          <w:rFonts w:asciiTheme="majorBidi" w:hAnsiTheme="majorBidi" w:cstheme="majorBidi"/>
          <w:sz w:val="22"/>
          <w:szCs w:val="22"/>
        </w:rPr>
      </w:pPr>
    </w:p>
    <w:p w:rsidR="00D83650" w:rsidRDefault="00D83650" w:rsidP="00D83650">
      <w:pPr>
        <w:autoSpaceDE w:val="0"/>
        <w:autoSpaceDN w:val="0"/>
        <w:adjustRightInd w:val="0"/>
        <w:spacing w:after="0" w:line="480" w:lineRule="auto"/>
        <w:jc w:val="both"/>
        <w:rPr>
          <w:rStyle w:val="Bodytext4"/>
          <w:rFonts w:asciiTheme="majorBidi" w:hAnsiTheme="majorBidi" w:cstheme="majorBidi"/>
          <w:sz w:val="22"/>
          <w:szCs w:val="22"/>
        </w:rPr>
      </w:pPr>
    </w:p>
    <w:p w:rsidR="00D83650" w:rsidRDefault="00D83650" w:rsidP="00D83650">
      <w:pPr>
        <w:autoSpaceDE w:val="0"/>
        <w:autoSpaceDN w:val="0"/>
        <w:adjustRightInd w:val="0"/>
        <w:spacing w:after="0" w:line="480" w:lineRule="auto"/>
        <w:jc w:val="both"/>
        <w:rPr>
          <w:rStyle w:val="Bodytext4"/>
          <w:rFonts w:asciiTheme="majorBidi" w:hAnsiTheme="majorBidi" w:cstheme="majorBidi"/>
          <w:sz w:val="22"/>
          <w:szCs w:val="22"/>
        </w:rPr>
      </w:pPr>
    </w:p>
    <w:p w:rsidR="00FF1DE5" w:rsidRDefault="00FF1DE5" w:rsidP="00D83650">
      <w:pPr>
        <w:spacing w:before="240" w:line="480" w:lineRule="auto"/>
        <w:jc w:val="both"/>
        <w:rPr>
          <w:rStyle w:val="SubtleEmphasis"/>
          <w:rFonts w:asciiTheme="majorBidi" w:hAnsiTheme="majorBidi" w:cstheme="majorBidi"/>
          <w:b/>
          <w:i w:val="0"/>
          <w:color w:val="0D0D0D" w:themeColor="text1" w:themeTint="F2"/>
        </w:rPr>
      </w:pPr>
    </w:p>
    <w:p w:rsidR="00D83650" w:rsidRDefault="00D83650" w:rsidP="00D83650">
      <w:pPr>
        <w:spacing w:before="240" w:line="480" w:lineRule="auto"/>
        <w:jc w:val="both"/>
        <w:rPr>
          <w:rStyle w:val="SubtleEmphasis"/>
          <w:rFonts w:asciiTheme="majorBidi" w:hAnsiTheme="majorBidi" w:cstheme="majorBidi"/>
          <w:b/>
          <w:i w:val="0"/>
          <w:color w:val="0D0D0D" w:themeColor="text1" w:themeTint="F2"/>
        </w:rPr>
      </w:pPr>
      <w:proofErr w:type="gramStart"/>
      <w:r w:rsidRPr="006370A8">
        <w:rPr>
          <w:rStyle w:val="SubtleEmphasis"/>
          <w:rFonts w:asciiTheme="majorBidi" w:hAnsiTheme="majorBidi" w:cstheme="majorBidi"/>
          <w:b/>
          <w:i w:val="0"/>
          <w:color w:val="0D0D0D" w:themeColor="text1" w:themeTint="F2"/>
        </w:rPr>
        <w:lastRenderedPageBreak/>
        <w:t>Table 1.</w:t>
      </w:r>
      <w:proofErr w:type="gramEnd"/>
      <w:r>
        <w:rPr>
          <w:rStyle w:val="SubtleEmphasis"/>
          <w:rFonts w:asciiTheme="majorBidi" w:hAnsiTheme="majorBidi" w:cstheme="majorBidi"/>
          <w:b/>
          <w:i w:val="0"/>
          <w:color w:val="0D0D0D" w:themeColor="text1" w:themeTint="F2"/>
        </w:rPr>
        <w:t xml:space="preserve"> Patient characteristics</w:t>
      </w:r>
    </w:p>
    <w:tbl>
      <w:tblPr>
        <w:tblStyle w:val="MediumShading2-Accent5"/>
        <w:tblW w:w="9412" w:type="dxa"/>
        <w:tblInd w:w="108" w:type="dxa"/>
        <w:tblBorders>
          <w:left w:val="single" w:sz="18" w:space="0" w:color="auto"/>
          <w:right w:val="single" w:sz="18" w:space="0" w:color="auto"/>
          <w:insideH w:val="single" w:sz="6" w:space="0" w:color="auto"/>
          <w:insideV w:val="single" w:sz="6" w:space="0" w:color="auto"/>
        </w:tblBorders>
        <w:tblLook w:val="0660"/>
      </w:tblPr>
      <w:tblGrid>
        <w:gridCol w:w="3381"/>
        <w:gridCol w:w="1252"/>
        <w:gridCol w:w="3470"/>
        <w:gridCol w:w="1309"/>
      </w:tblGrid>
      <w:tr w:rsidR="00D83650" w:rsidRPr="006370A8" w:rsidTr="007946E1">
        <w:trPr>
          <w:cnfStyle w:val="100000000000"/>
          <w:trHeight w:val="790"/>
        </w:trPr>
        <w:tc>
          <w:tcPr>
            <w:tcW w:w="0" w:type="auto"/>
            <w:tcBorders>
              <w:left w:val="single" w:sz="18" w:space="0" w:color="auto"/>
            </w:tcBorders>
            <w:shd w:val="clear" w:color="auto" w:fill="548DD4" w:themeFill="text2" w:themeFillTint="99"/>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Patient characteristics</w:t>
            </w:r>
          </w:p>
        </w:tc>
        <w:tc>
          <w:tcPr>
            <w:tcW w:w="0" w:type="auto"/>
            <w:shd w:val="clear" w:color="auto" w:fill="548DD4" w:themeFill="text2" w:themeFillTint="99"/>
          </w:tcPr>
          <w:p w:rsidR="00D83650" w:rsidRPr="006370A8" w:rsidRDefault="00D83650" w:rsidP="007946E1">
            <w:pPr>
              <w:spacing w:before="240" w:line="480" w:lineRule="auto"/>
              <w:jc w:val="center"/>
              <w:rPr>
                <w:rFonts w:asciiTheme="majorBidi" w:hAnsiTheme="majorBidi" w:cstheme="majorBidi"/>
              </w:rPr>
            </w:pPr>
            <w:r>
              <w:rPr>
                <w:rFonts w:asciiTheme="majorBidi" w:hAnsiTheme="majorBidi" w:cstheme="majorBidi"/>
              </w:rPr>
              <w:t>Median</w:t>
            </w:r>
          </w:p>
        </w:tc>
        <w:tc>
          <w:tcPr>
            <w:tcW w:w="0" w:type="auto"/>
            <w:shd w:val="clear" w:color="auto" w:fill="548DD4" w:themeFill="text2" w:themeFillTint="99"/>
          </w:tcPr>
          <w:p w:rsidR="00D83650" w:rsidRPr="006370A8" w:rsidRDefault="00D83650" w:rsidP="007946E1">
            <w:pPr>
              <w:spacing w:before="240" w:line="480" w:lineRule="auto"/>
              <w:jc w:val="center"/>
              <w:rPr>
                <w:rFonts w:asciiTheme="majorBidi" w:hAnsiTheme="majorBidi" w:cstheme="majorBidi"/>
              </w:rPr>
            </w:pPr>
            <w:r>
              <w:rPr>
                <w:rFonts w:asciiTheme="majorBidi" w:hAnsiTheme="majorBidi" w:cstheme="majorBidi"/>
              </w:rPr>
              <w:t>Inter-quartile range (1:3)</w:t>
            </w:r>
          </w:p>
        </w:tc>
        <w:tc>
          <w:tcPr>
            <w:tcW w:w="0" w:type="auto"/>
            <w:tcBorders>
              <w:right w:val="single" w:sz="18" w:space="0" w:color="auto"/>
            </w:tcBorders>
            <w:shd w:val="clear" w:color="auto" w:fill="548DD4" w:themeFill="text2" w:themeFillTint="99"/>
          </w:tcPr>
          <w:p w:rsidR="00D83650" w:rsidRPr="00595DC1" w:rsidRDefault="00D83650" w:rsidP="007946E1">
            <w:pPr>
              <w:spacing w:before="240" w:line="480" w:lineRule="auto"/>
              <w:jc w:val="center"/>
              <w:rPr>
                <w:rFonts w:asciiTheme="majorBidi" w:hAnsiTheme="majorBidi" w:cstheme="majorBidi"/>
              </w:rPr>
            </w:pPr>
            <w:r>
              <w:rPr>
                <w:rFonts w:asciiTheme="majorBidi" w:hAnsiTheme="majorBidi" w:cstheme="majorBidi"/>
              </w:rPr>
              <w:t>Range</w:t>
            </w:r>
          </w:p>
        </w:tc>
      </w:tr>
      <w:tr w:rsidR="00D83650" w:rsidRPr="006370A8" w:rsidTr="007946E1">
        <w:trPr>
          <w:trHeight w:val="790"/>
        </w:trPr>
        <w:tc>
          <w:tcPr>
            <w:tcW w:w="0" w:type="auto"/>
            <w:tcBorders>
              <w:top w:val="single" w:sz="18" w:space="0" w:color="auto"/>
              <w:bottom w:val="nil"/>
              <w:right w:val="nil"/>
            </w:tcBorders>
            <w:noWrap/>
          </w:tcPr>
          <w:p w:rsidR="00D83650" w:rsidRPr="006370A8" w:rsidRDefault="00D83650" w:rsidP="007946E1">
            <w:pPr>
              <w:spacing w:before="240" w:line="480" w:lineRule="auto"/>
              <w:jc w:val="both"/>
              <w:rPr>
                <w:rFonts w:asciiTheme="majorBidi" w:hAnsiTheme="majorBidi" w:cstheme="majorBidi"/>
              </w:rPr>
            </w:pPr>
            <w:r w:rsidRPr="006370A8">
              <w:rPr>
                <w:rFonts w:asciiTheme="majorBidi" w:hAnsiTheme="majorBidi" w:cstheme="majorBidi"/>
              </w:rPr>
              <w:t>Age (years)</w:t>
            </w:r>
          </w:p>
        </w:tc>
        <w:tc>
          <w:tcPr>
            <w:tcW w:w="0" w:type="auto"/>
            <w:tcBorders>
              <w:top w:val="single" w:sz="18" w:space="0" w:color="auto"/>
              <w:left w:val="nil"/>
              <w:bottom w:val="nil"/>
              <w:right w:val="nil"/>
            </w:tcBorders>
          </w:tcPr>
          <w:p w:rsidR="00D83650" w:rsidRPr="00BF59DD" w:rsidRDefault="00D83650" w:rsidP="007946E1">
            <w:pPr>
              <w:pStyle w:val="DecimalAligned"/>
              <w:spacing w:before="240" w:line="480" w:lineRule="auto"/>
              <w:jc w:val="center"/>
              <w:rPr>
                <w:rFonts w:asciiTheme="majorBidi" w:hAnsiTheme="majorBidi" w:cstheme="majorBidi"/>
              </w:rPr>
            </w:pPr>
            <w:r w:rsidRPr="00BF59DD">
              <w:rPr>
                <w:rFonts w:ascii="Times New Roman" w:hAnsi="Times New Roman" w:cs="Times New Roman"/>
              </w:rPr>
              <w:t>3</w:t>
            </w:r>
            <w:r>
              <w:rPr>
                <w:rFonts w:ascii="Times New Roman" w:hAnsi="Times New Roman" w:cs="Times New Roman"/>
              </w:rPr>
              <w:t>7</w:t>
            </w:r>
          </w:p>
        </w:tc>
        <w:tc>
          <w:tcPr>
            <w:tcW w:w="0" w:type="auto"/>
            <w:tcBorders>
              <w:top w:val="single" w:sz="18" w:space="0" w:color="auto"/>
              <w:left w:val="nil"/>
              <w:bottom w:val="nil"/>
              <w:right w:val="nil"/>
            </w:tcBorders>
          </w:tcPr>
          <w:p w:rsidR="00D83650" w:rsidRPr="00936DD8"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28-45</w:t>
            </w:r>
          </w:p>
        </w:tc>
        <w:tc>
          <w:tcPr>
            <w:tcW w:w="0" w:type="auto"/>
            <w:tcBorders>
              <w:top w:val="single" w:sz="18" w:space="0" w:color="auto"/>
              <w:left w:val="nil"/>
              <w:bottom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18-50</w:t>
            </w:r>
          </w:p>
        </w:tc>
      </w:tr>
      <w:tr w:rsidR="00D83650" w:rsidRPr="006370A8" w:rsidTr="007946E1">
        <w:trPr>
          <w:trHeight w:val="778"/>
        </w:trPr>
        <w:tc>
          <w:tcPr>
            <w:tcW w:w="0" w:type="auto"/>
            <w:tcBorders>
              <w:top w:val="nil"/>
              <w:bottom w:val="nil"/>
              <w:right w:val="nil"/>
            </w:tcBorders>
            <w:noWrap/>
          </w:tcPr>
          <w:p w:rsidR="00D83650" w:rsidRPr="006370A8" w:rsidRDefault="00D83650" w:rsidP="007946E1">
            <w:pPr>
              <w:spacing w:before="240" w:line="480" w:lineRule="auto"/>
              <w:jc w:val="both"/>
              <w:rPr>
                <w:rFonts w:asciiTheme="majorBidi" w:hAnsiTheme="majorBidi" w:cstheme="majorBidi"/>
              </w:rPr>
            </w:pPr>
            <w:r w:rsidRPr="006370A8">
              <w:rPr>
                <w:rFonts w:asciiTheme="majorBidi" w:hAnsiTheme="majorBidi" w:cstheme="majorBidi"/>
              </w:rPr>
              <w:t>Weight (Kg)</w:t>
            </w:r>
          </w:p>
        </w:tc>
        <w:tc>
          <w:tcPr>
            <w:tcW w:w="0" w:type="auto"/>
            <w:tcBorders>
              <w:top w:val="nil"/>
              <w:left w:val="nil"/>
              <w:bottom w:val="nil"/>
              <w:right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56</w:t>
            </w:r>
          </w:p>
        </w:tc>
        <w:tc>
          <w:tcPr>
            <w:tcW w:w="0" w:type="auto"/>
            <w:tcBorders>
              <w:top w:val="nil"/>
              <w:left w:val="nil"/>
              <w:bottom w:val="nil"/>
              <w:right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51-60</w:t>
            </w:r>
          </w:p>
        </w:tc>
        <w:tc>
          <w:tcPr>
            <w:tcW w:w="0" w:type="auto"/>
            <w:tcBorders>
              <w:top w:val="nil"/>
              <w:left w:val="nil"/>
              <w:bottom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36-70</w:t>
            </w:r>
          </w:p>
        </w:tc>
      </w:tr>
      <w:tr w:rsidR="00D83650" w:rsidRPr="006370A8" w:rsidTr="007946E1">
        <w:trPr>
          <w:trHeight w:val="790"/>
        </w:trPr>
        <w:tc>
          <w:tcPr>
            <w:tcW w:w="0" w:type="auto"/>
            <w:tcBorders>
              <w:top w:val="nil"/>
              <w:bottom w:val="nil"/>
              <w:right w:val="nil"/>
            </w:tcBorders>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STAI-T in waiting room</w:t>
            </w:r>
          </w:p>
        </w:tc>
        <w:tc>
          <w:tcPr>
            <w:tcW w:w="0" w:type="auto"/>
            <w:tcBorders>
              <w:top w:val="nil"/>
              <w:left w:val="nil"/>
              <w:bottom w:val="nil"/>
              <w:right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37</w:t>
            </w:r>
          </w:p>
        </w:tc>
        <w:tc>
          <w:tcPr>
            <w:tcW w:w="0" w:type="auto"/>
            <w:tcBorders>
              <w:top w:val="nil"/>
              <w:left w:val="nil"/>
              <w:bottom w:val="nil"/>
              <w:right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34-38</w:t>
            </w:r>
          </w:p>
        </w:tc>
        <w:tc>
          <w:tcPr>
            <w:tcW w:w="0" w:type="auto"/>
            <w:tcBorders>
              <w:top w:val="nil"/>
              <w:left w:val="nil"/>
              <w:bottom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30-49</w:t>
            </w:r>
          </w:p>
        </w:tc>
      </w:tr>
      <w:tr w:rsidR="00D83650" w:rsidRPr="006370A8" w:rsidTr="007946E1">
        <w:trPr>
          <w:trHeight w:val="790"/>
        </w:trPr>
        <w:tc>
          <w:tcPr>
            <w:tcW w:w="0" w:type="auto"/>
            <w:tcBorders>
              <w:top w:val="nil"/>
              <w:bottom w:val="nil"/>
              <w:right w:val="nil"/>
            </w:tcBorders>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STAI-S in waiting room</w:t>
            </w:r>
          </w:p>
        </w:tc>
        <w:tc>
          <w:tcPr>
            <w:tcW w:w="0" w:type="auto"/>
            <w:tcBorders>
              <w:top w:val="nil"/>
              <w:left w:val="nil"/>
              <w:bottom w:val="nil"/>
              <w:right w:val="nil"/>
            </w:tcBorders>
          </w:tcPr>
          <w:p w:rsidR="00D83650" w:rsidRPr="00936DD8"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40</w:t>
            </w:r>
          </w:p>
        </w:tc>
        <w:tc>
          <w:tcPr>
            <w:tcW w:w="0" w:type="auto"/>
            <w:tcBorders>
              <w:top w:val="nil"/>
              <w:left w:val="nil"/>
              <w:bottom w:val="nil"/>
              <w:right w:val="nil"/>
            </w:tcBorders>
          </w:tcPr>
          <w:p w:rsidR="00D83650" w:rsidRPr="00936DD8"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37-44</w:t>
            </w:r>
          </w:p>
        </w:tc>
        <w:tc>
          <w:tcPr>
            <w:tcW w:w="0" w:type="auto"/>
            <w:tcBorders>
              <w:top w:val="nil"/>
              <w:left w:val="nil"/>
              <w:bottom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33-53</w:t>
            </w:r>
          </w:p>
        </w:tc>
      </w:tr>
      <w:tr w:rsidR="00D83650" w:rsidRPr="006370A8" w:rsidTr="007946E1">
        <w:trPr>
          <w:trHeight w:val="790"/>
        </w:trPr>
        <w:tc>
          <w:tcPr>
            <w:tcW w:w="0" w:type="auto"/>
            <w:tcBorders>
              <w:top w:val="nil"/>
              <w:bottom w:val="nil"/>
              <w:right w:val="nil"/>
            </w:tcBorders>
            <w:noWrap/>
          </w:tcPr>
          <w:p w:rsidR="00D83650" w:rsidRDefault="00D83650" w:rsidP="007946E1">
            <w:pPr>
              <w:spacing w:before="240" w:line="480" w:lineRule="auto"/>
              <w:jc w:val="both"/>
              <w:rPr>
                <w:rFonts w:asciiTheme="majorBidi" w:hAnsiTheme="majorBidi" w:cstheme="majorBidi"/>
              </w:rPr>
            </w:pPr>
            <w:r>
              <w:rPr>
                <w:rFonts w:asciiTheme="majorBidi" w:hAnsiTheme="majorBidi" w:cstheme="majorBidi"/>
              </w:rPr>
              <w:t>STAI-S in operating room</w:t>
            </w:r>
          </w:p>
        </w:tc>
        <w:tc>
          <w:tcPr>
            <w:tcW w:w="0" w:type="auto"/>
            <w:tcBorders>
              <w:top w:val="nil"/>
              <w:left w:val="nil"/>
              <w:bottom w:val="nil"/>
              <w:right w:val="nil"/>
            </w:tcBorders>
          </w:tcPr>
          <w:p w:rsidR="00D83650" w:rsidRDefault="00D83650" w:rsidP="007946E1">
            <w:pPr>
              <w:pStyle w:val="DecimalAligned"/>
              <w:spacing w:before="240" w:line="480" w:lineRule="auto"/>
              <w:jc w:val="center"/>
              <w:rPr>
                <w:rFonts w:ascii="Times New Roman" w:hAnsi="Times New Roman" w:cs="Times New Roman"/>
              </w:rPr>
            </w:pPr>
            <w:r>
              <w:rPr>
                <w:rFonts w:ascii="Times New Roman" w:hAnsi="Times New Roman" w:cs="Times New Roman"/>
              </w:rPr>
              <w:t>42</w:t>
            </w:r>
          </w:p>
        </w:tc>
        <w:tc>
          <w:tcPr>
            <w:tcW w:w="0" w:type="auto"/>
            <w:tcBorders>
              <w:top w:val="nil"/>
              <w:left w:val="nil"/>
              <w:bottom w:val="nil"/>
              <w:right w:val="nil"/>
            </w:tcBorders>
          </w:tcPr>
          <w:p w:rsidR="00D83650" w:rsidRDefault="00D83650" w:rsidP="007946E1">
            <w:pPr>
              <w:pStyle w:val="DecimalAligned"/>
              <w:spacing w:before="240" w:line="480" w:lineRule="auto"/>
              <w:jc w:val="center"/>
              <w:rPr>
                <w:rFonts w:ascii="Times New Roman" w:hAnsi="Times New Roman" w:cs="Times New Roman"/>
              </w:rPr>
            </w:pPr>
            <w:r>
              <w:rPr>
                <w:rFonts w:ascii="Times New Roman" w:hAnsi="Times New Roman" w:cs="Times New Roman"/>
              </w:rPr>
              <w:t>39-46</w:t>
            </w:r>
          </w:p>
        </w:tc>
        <w:tc>
          <w:tcPr>
            <w:tcW w:w="0" w:type="auto"/>
            <w:tcBorders>
              <w:top w:val="nil"/>
              <w:left w:val="nil"/>
              <w:bottom w:val="nil"/>
            </w:tcBorders>
          </w:tcPr>
          <w:p w:rsidR="00D83650"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33-54</w:t>
            </w:r>
          </w:p>
        </w:tc>
      </w:tr>
      <w:tr w:rsidR="00D83650" w:rsidRPr="006370A8" w:rsidTr="007946E1">
        <w:trPr>
          <w:cnfStyle w:val="010000000000"/>
          <w:trHeight w:val="802"/>
        </w:trPr>
        <w:tc>
          <w:tcPr>
            <w:tcW w:w="0" w:type="auto"/>
            <w:tcBorders>
              <w:top w:val="nil"/>
              <w:left w:val="single" w:sz="18" w:space="0" w:color="auto"/>
            </w:tcBorders>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HR in operating room</w:t>
            </w:r>
          </w:p>
        </w:tc>
        <w:tc>
          <w:tcPr>
            <w:tcW w:w="0" w:type="auto"/>
            <w:tcBorders>
              <w:top w:val="nil"/>
            </w:tcBorders>
          </w:tcPr>
          <w:p w:rsidR="00D83650" w:rsidRPr="00BE1F11"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115</w:t>
            </w:r>
          </w:p>
        </w:tc>
        <w:tc>
          <w:tcPr>
            <w:tcW w:w="0" w:type="auto"/>
            <w:tcBorders>
              <w:top w:val="nil"/>
            </w:tcBorders>
          </w:tcPr>
          <w:p w:rsidR="00D83650" w:rsidRPr="00BE1F11" w:rsidRDefault="00D83650" w:rsidP="007946E1">
            <w:pPr>
              <w:pStyle w:val="DecimalAligned"/>
              <w:spacing w:before="240" w:line="480" w:lineRule="auto"/>
              <w:jc w:val="center"/>
              <w:rPr>
                <w:rFonts w:asciiTheme="majorBidi" w:hAnsiTheme="majorBidi" w:cstheme="majorBidi"/>
              </w:rPr>
            </w:pPr>
            <w:r w:rsidRPr="00BE1F11">
              <w:rPr>
                <w:rFonts w:ascii="Times New Roman" w:hAnsi="Times New Roman" w:cs="Times New Roman"/>
              </w:rPr>
              <w:t>1</w:t>
            </w:r>
            <w:r>
              <w:rPr>
                <w:rFonts w:ascii="Times New Roman" w:hAnsi="Times New Roman" w:cs="Times New Roman"/>
              </w:rPr>
              <w:t>08-123</w:t>
            </w:r>
          </w:p>
        </w:tc>
        <w:tc>
          <w:tcPr>
            <w:tcW w:w="0" w:type="auto"/>
            <w:tcBorders>
              <w:top w:val="nil"/>
              <w:right w:val="single" w:sz="18" w:space="0" w:color="auto"/>
            </w:tcBorders>
          </w:tcPr>
          <w:p w:rsidR="00D83650" w:rsidRPr="00BE1F11"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68-132</w:t>
            </w:r>
          </w:p>
        </w:tc>
      </w:tr>
    </w:tbl>
    <w:p w:rsidR="00D83650" w:rsidRDefault="00D83650" w:rsidP="00D83650">
      <w:pPr>
        <w:autoSpaceDE w:val="0"/>
        <w:autoSpaceDN w:val="0"/>
        <w:adjustRightInd w:val="0"/>
        <w:spacing w:after="0" w:line="480" w:lineRule="auto"/>
        <w:jc w:val="both"/>
        <w:rPr>
          <w:rStyle w:val="Bodytext4"/>
          <w:rFonts w:asciiTheme="majorBidi" w:hAnsiTheme="majorBidi" w:cstheme="majorBidi"/>
          <w:sz w:val="22"/>
          <w:szCs w:val="22"/>
        </w:rPr>
      </w:pPr>
    </w:p>
    <w:p w:rsidR="00D83650" w:rsidRDefault="00D83650" w:rsidP="00D83650">
      <w:pPr>
        <w:spacing w:after="97" w:line="480" w:lineRule="auto"/>
        <w:ind w:right="4"/>
        <w:jc w:val="both"/>
        <w:rPr>
          <w:rStyle w:val="SubtleEmphasis"/>
          <w:rFonts w:asciiTheme="majorBidi" w:hAnsiTheme="majorBidi" w:cstheme="majorBidi"/>
          <w:b/>
          <w:i w:val="0"/>
          <w:color w:val="0D0D0D" w:themeColor="text1" w:themeTint="F2"/>
        </w:rPr>
      </w:pPr>
      <w:proofErr w:type="gramStart"/>
      <w:r>
        <w:rPr>
          <w:rStyle w:val="SubtleEmphasis"/>
          <w:rFonts w:asciiTheme="majorBidi" w:hAnsiTheme="majorBidi" w:cstheme="majorBidi"/>
          <w:b/>
          <w:i w:val="0"/>
          <w:color w:val="0D0D0D" w:themeColor="text1" w:themeTint="F2"/>
        </w:rPr>
        <w:t>Table 2.</w:t>
      </w:r>
      <w:proofErr w:type="gramEnd"/>
      <w:r>
        <w:rPr>
          <w:rStyle w:val="SubtleEmphasis"/>
          <w:rFonts w:asciiTheme="majorBidi" w:hAnsiTheme="majorBidi" w:cstheme="majorBidi"/>
          <w:b/>
          <w:i w:val="0"/>
          <w:color w:val="0D0D0D" w:themeColor="text1" w:themeTint="F2"/>
        </w:rPr>
        <w:t xml:space="preserve"> Correlation coefficient of different study parameters against the induction dose of </w:t>
      </w:r>
      <w:proofErr w:type="spellStart"/>
      <w:r>
        <w:rPr>
          <w:rStyle w:val="SubtleEmphasis"/>
          <w:rFonts w:asciiTheme="majorBidi" w:hAnsiTheme="majorBidi" w:cstheme="majorBidi"/>
          <w:b/>
          <w:i w:val="0"/>
          <w:color w:val="0D0D0D" w:themeColor="text1" w:themeTint="F2"/>
        </w:rPr>
        <w:t>propofol</w:t>
      </w:r>
      <w:proofErr w:type="spellEnd"/>
    </w:p>
    <w:tbl>
      <w:tblPr>
        <w:tblStyle w:val="MediumShading2-Accent5"/>
        <w:tblW w:w="4944" w:type="pct"/>
        <w:tblInd w:w="108" w:type="dxa"/>
        <w:tblBorders>
          <w:left w:val="single" w:sz="18" w:space="0" w:color="auto"/>
          <w:right w:val="single" w:sz="18" w:space="0" w:color="auto"/>
          <w:insideH w:val="single" w:sz="6" w:space="0" w:color="auto"/>
          <w:insideV w:val="single" w:sz="6" w:space="0" w:color="auto"/>
        </w:tblBorders>
        <w:tblLook w:val="0660"/>
      </w:tblPr>
      <w:tblGrid>
        <w:gridCol w:w="3520"/>
        <w:gridCol w:w="3002"/>
        <w:gridCol w:w="2947"/>
      </w:tblGrid>
      <w:tr w:rsidR="00D83650" w:rsidRPr="006370A8" w:rsidTr="007946E1">
        <w:trPr>
          <w:cnfStyle w:val="100000000000"/>
          <w:trHeight w:val="790"/>
        </w:trPr>
        <w:tc>
          <w:tcPr>
            <w:tcW w:w="1859" w:type="pct"/>
            <w:vMerge w:val="restart"/>
            <w:tcBorders>
              <w:left w:val="single" w:sz="18" w:space="0" w:color="auto"/>
              <w:bottom w:val="nil"/>
            </w:tcBorders>
            <w:shd w:val="clear" w:color="auto" w:fill="548DD4" w:themeFill="text2" w:themeFillTint="99"/>
            <w:noWrap/>
          </w:tcPr>
          <w:p w:rsidR="00D83650" w:rsidRPr="006370A8" w:rsidRDefault="00D83650" w:rsidP="007946E1">
            <w:pPr>
              <w:spacing w:before="240" w:line="480" w:lineRule="auto"/>
              <w:rPr>
                <w:rFonts w:asciiTheme="majorBidi" w:hAnsiTheme="majorBidi" w:cstheme="majorBidi"/>
              </w:rPr>
            </w:pPr>
            <w:r>
              <w:rPr>
                <w:rFonts w:asciiTheme="majorBidi" w:hAnsiTheme="majorBidi" w:cstheme="majorBidi"/>
              </w:rPr>
              <w:t>Patient characteristics</w:t>
            </w:r>
          </w:p>
        </w:tc>
        <w:tc>
          <w:tcPr>
            <w:tcW w:w="3141" w:type="pct"/>
            <w:gridSpan w:val="2"/>
            <w:tcBorders>
              <w:bottom w:val="nil"/>
              <w:right w:val="single" w:sz="18" w:space="0" w:color="auto"/>
            </w:tcBorders>
            <w:shd w:val="clear" w:color="auto" w:fill="548DD4" w:themeFill="text2" w:themeFillTint="99"/>
          </w:tcPr>
          <w:p w:rsidR="00D83650" w:rsidRPr="00187072" w:rsidRDefault="00D83650" w:rsidP="007946E1">
            <w:pPr>
              <w:spacing w:before="240" w:line="480" w:lineRule="auto"/>
              <w:jc w:val="center"/>
              <w:rPr>
                <w:rFonts w:asciiTheme="majorBidi" w:hAnsiTheme="majorBidi" w:cstheme="majorBidi"/>
                <w:b w:val="0"/>
                <w:bCs w:val="0"/>
              </w:rPr>
            </w:pPr>
            <w:proofErr w:type="spellStart"/>
            <w:r>
              <w:rPr>
                <w:rFonts w:asciiTheme="majorBidi" w:hAnsiTheme="majorBidi" w:cstheme="majorBidi"/>
              </w:rPr>
              <w:t>Propofol</w:t>
            </w:r>
            <w:proofErr w:type="spellEnd"/>
            <w:r>
              <w:rPr>
                <w:rFonts w:asciiTheme="majorBidi" w:hAnsiTheme="majorBidi" w:cstheme="majorBidi"/>
              </w:rPr>
              <w:t xml:space="preserve"> dose</w:t>
            </w:r>
          </w:p>
        </w:tc>
      </w:tr>
      <w:tr w:rsidR="00D83650" w:rsidRPr="006370A8" w:rsidTr="007946E1">
        <w:trPr>
          <w:trHeight w:val="545"/>
        </w:trPr>
        <w:tc>
          <w:tcPr>
            <w:tcW w:w="1859" w:type="pct"/>
            <w:vMerge/>
            <w:tcBorders>
              <w:top w:val="nil"/>
              <w:left w:val="single" w:sz="18" w:space="0" w:color="auto"/>
              <w:bottom w:val="single" w:sz="18" w:space="0" w:color="auto"/>
              <w:right w:val="nil"/>
            </w:tcBorders>
            <w:shd w:val="clear" w:color="auto" w:fill="548DD4" w:themeFill="text2" w:themeFillTint="99"/>
            <w:noWrap/>
          </w:tcPr>
          <w:p w:rsidR="00D83650" w:rsidRDefault="00D83650" w:rsidP="007946E1">
            <w:pPr>
              <w:spacing w:before="240" w:line="480" w:lineRule="auto"/>
              <w:jc w:val="both"/>
              <w:rPr>
                <w:rFonts w:asciiTheme="majorBidi" w:hAnsiTheme="majorBidi" w:cstheme="majorBidi"/>
              </w:rPr>
            </w:pPr>
          </w:p>
        </w:tc>
        <w:tc>
          <w:tcPr>
            <w:tcW w:w="1585" w:type="pct"/>
            <w:tcBorders>
              <w:top w:val="nil"/>
              <w:left w:val="nil"/>
              <w:bottom w:val="single" w:sz="18" w:space="0" w:color="auto"/>
              <w:right w:val="nil"/>
            </w:tcBorders>
            <w:shd w:val="clear" w:color="auto" w:fill="548DD4" w:themeFill="text2" w:themeFillTint="99"/>
          </w:tcPr>
          <w:p w:rsidR="00D83650" w:rsidRPr="00187072" w:rsidRDefault="00D83650" w:rsidP="007946E1">
            <w:pPr>
              <w:spacing w:before="240" w:line="480" w:lineRule="auto"/>
              <w:jc w:val="center"/>
              <w:rPr>
                <w:rFonts w:asciiTheme="majorBidi" w:hAnsiTheme="majorBidi" w:cstheme="majorBidi"/>
                <w:b/>
                <w:color w:val="FFFFFF" w:themeColor="background1"/>
              </w:rPr>
            </w:pPr>
            <w:r w:rsidRPr="00187072">
              <w:rPr>
                <w:rFonts w:asciiTheme="majorBidi" w:hAnsiTheme="majorBidi" w:cstheme="majorBidi"/>
                <w:b/>
                <w:color w:val="FFFFFF" w:themeColor="background1"/>
              </w:rPr>
              <w:t>ρ (rho)</w:t>
            </w:r>
          </w:p>
        </w:tc>
        <w:tc>
          <w:tcPr>
            <w:tcW w:w="1556" w:type="pct"/>
            <w:tcBorders>
              <w:top w:val="nil"/>
              <w:left w:val="nil"/>
              <w:bottom w:val="single" w:sz="18" w:space="0" w:color="auto"/>
              <w:right w:val="single" w:sz="18" w:space="0" w:color="auto"/>
            </w:tcBorders>
            <w:shd w:val="clear" w:color="auto" w:fill="548DD4" w:themeFill="text2" w:themeFillTint="99"/>
          </w:tcPr>
          <w:p w:rsidR="00D83650" w:rsidRPr="00187072" w:rsidRDefault="00D83650" w:rsidP="007946E1">
            <w:pPr>
              <w:spacing w:before="240" w:line="480" w:lineRule="auto"/>
              <w:jc w:val="center"/>
              <w:rPr>
                <w:rFonts w:asciiTheme="majorBidi" w:hAnsiTheme="majorBidi" w:cstheme="majorBidi"/>
                <w:b/>
                <w:color w:val="FFFFFF" w:themeColor="background1"/>
              </w:rPr>
            </w:pPr>
            <w:r w:rsidRPr="00187072">
              <w:rPr>
                <w:rFonts w:asciiTheme="majorBidi" w:hAnsiTheme="majorBidi" w:cstheme="majorBidi"/>
                <w:b/>
                <w:i/>
                <w:iCs/>
                <w:color w:val="FFFFFF" w:themeColor="background1"/>
              </w:rPr>
              <w:t xml:space="preserve">p </w:t>
            </w:r>
            <w:r w:rsidRPr="00187072">
              <w:rPr>
                <w:rFonts w:asciiTheme="majorBidi" w:hAnsiTheme="majorBidi" w:cstheme="majorBidi"/>
                <w:b/>
                <w:color w:val="FFFFFF" w:themeColor="background1"/>
              </w:rPr>
              <w:t>value</w:t>
            </w:r>
          </w:p>
        </w:tc>
      </w:tr>
      <w:tr w:rsidR="00D83650" w:rsidRPr="006370A8" w:rsidTr="007946E1">
        <w:trPr>
          <w:trHeight w:val="790"/>
        </w:trPr>
        <w:tc>
          <w:tcPr>
            <w:tcW w:w="1859" w:type="pct"/>
            <w:tcBorders>
              <w:top w:val="single" w:sz="18" w:space="0" w:color="auto"/>
              <w:bottom w:val="nil"/>
              <w:right w:val="nil"/>
            </w:tcBorders>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STAI-T in waiting room</w:t>
            </w:r>
          </w:p>
        </w:tc>
        <w:tc>
          <w:tcPr>
            <w:tcW w:w="1585" w:type="pct"/>
            <w:tcBorders>
              <w:top w:val="single" w:sz="18" w:space="0" w:color="auto"/>
              <w:left w:val="nil"/>
              <w:bottom w:val="nil"/>
              <w:right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0.673</w:t>
            </w:r>
          </w:p>
        </w:tc>
        <w:tc>
          <w:tcPr>
            <w:tcW w:w="1556" w:type="pct"/>
            <w:tcBorders>
              <w:top w:val="single" w:sz="18" w:space="0" w:color="auto"/>
              <w:left w:val="nil"/>
              <w:bottom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&lt;0.0001</w:t>
            </w:r>
          </w:p>
        </w:tc>
      </w:tr>
      <w:tr w:rsidR="00D83650" w:rsidRPr="006370A8" w:rsidTr="007946E1">
        <w:trPr>
          <w:trHeight w:val="790"/>
        </w:trPr>
        <w:tc>
          <w:tcPr>
            <w:tcW w:w="1859" w:type="pct"/>
            <w:tcBorders>
              <w:top w:val="nil"/>
              <w:bottom w:val="nil"/>
              <w:right w:val="nil"/>
            </w:tcBorders>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STAI-S in waiting room</w:t>
            </w:r>
          </w:p>
        </w:tc>
        <w:tc>
          <w:tcPr>
            <w:tcW w:w="1585" w:type="pct"/>
            <w:tcBorders>
              <w:top w:val="nil"/>
              <w:left w:val="nil"/>
              <w:bottom w:val="nil"/>
              <w:right w:val="nil"/>
            </w:tcBorders>
          </w:tcPr>
          <w:p w:rsidR="00D83650" w:rsidRPr="00936DD8"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0.478</w:t>
            </w:r>
          </w:p>
        </w:tc>
        <w:tc>
          <w:tcPr>
            <w:tcW w:w="1556" w:type="pct"/>
            <w:tcBorders>
              <w:top w:val="nil"/>
              <w:left w:val="nil"/>
              <w:bottom w:val="nil"/>
            </w:tcBorders>
          </w:tcPr>
          <w:p w:rsidR="00D83650" w:rsidRPr="006370A8"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0.0012</w:t>
            </w:r>
          </w:p>
        </w:tc>
      </w:tr>
      <w:tr w:rsidR="00D83650" w:rsidRPr="006370A8" w:rsidTr="007946E1">
        <w:trPr>
          <w:trHeight w:val="790"/>
        </w:trPr>
        <w:tc>
          <w:tcPr>
            <w:tcW w:w="1859" w:type="pct"/>
            <w:tcBorders>
              <w:top w:val="nil"/>
              <w:bottom w:val="nil"/>
              <w:right w:val="nil"/>
            </w:tcBorders>
            <w:noWrap/>
          </w:tcPr>
          <w:p w:rsidR="00D83650" w:rsidRDefault="00D83650" w:rsidP="007946E1">
            <w:pPr>
              <w:spacing w:before="240" w:line="480" w:lineRule="auto"/>
              <w:jc w:val="both"/>
              <w:rPr>
                <w:rFonts w:asciiTheme="majorBidi" w:hAnsiTheme="majorBidi" w:cstheme="majorBidi"/>
              </w:rPr>
            </w:pPr>
            <w:r>
              <w:rPr>
                <w:rFonts w:asciiTheme="majorBidi" w:hAnsiTheme="majorBidi" w:cstheme="majorBidi"/>
              </w:rPr>
              <w:t>STAI-S in operating room</w:t>
            </w:r>
          </w:p>
        </w:tc>
        <w:tc>
          <w:tcPr>
            <w:tcW w:w="1585" w:type="pct"/>
            <w:tcBorders>
              <w:top w:val="nil"/>
              <w:left w:val="nil"/>
              <w:bottom w:val="nil"/>
              <w:right w:val="nil"/>
            </w:tcBorders>
          </w:tcPr>
          <w:p w:rsidR="00D83650" w:rsidRDefault="00D83650" w:rsidP="007946E1">
            <w:pPr>
              <w:pStyle w:val="DecimalAligned"/>
              <w:spacing w:before="240" w:line="480" w:lineRule="auto"/>
              <w:jc w:val="center"/>
              <w:rPr>
                <w:rFonts w:ascii="Times New Roman" w:hAnsi="Times New Roman" w:cs="Times New Roman"/>
              </w:rPr>
            </w:pPr>
            <w:r>
              <w:rPr>
                <w:rFonts w:ascii="Times New Roman" w:hAnsi="Times New Roman" w:cs="Times New Roman"/>
              </w:rPr>
              <w:t>0.522</w:t>
            </w:r>
          </w:p>
        </w:tc>
        <w:tc>
          <w:tcPr>
            <w:tcW w:w="1556" w:type="pct"/>
            <w:tcBorders>
              <w:top w:val="nil"/>
              <w:left w:val="nil"/>
              <w:bottom w:val="nil"/>
            </w:tcBorders>
          </w:tcPr>
          <w:p w:rsidR="00D83650"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0.0001</w:t>
            </w:r>
          </w:p>
        </w:tc>
      </w:tr>
      <w:tr w:rsidR="00D83650" w:rsidRPr="006370A8" w:rsidTr="007946E1">
        <w:trPr>
          <w:cnfStyle w:val="010000000000"/>
          <w:trHeight w:val="802"/>
        </w:trPr>
        <w:tc>
          <w:tcPr>
            <w:tcW w:w="1859" w:type="pct"/>
            <w:tcBorders>
              <w:top w:val="nil"/>
              <w:left w:val="single" w:sz="18" w:space="0" w:color="auto"/>
            </w:tcBorders>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HR in operating room</w:t>
            </w:r>
          </w:p>
        </w:tc>
        <w:tc>
          <w:tcPr>
            <w:tcW w:w="1585" w:type="pct"/>
            <w:tcBorders>
              <w:top w:val="nil"/>
            </w:tcBorders>
          </w:tcPr>
          <w:p w:rsidR="00D83650" w:rsidRPr="00BE1F11"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0.662</w:t>
            </w:r>
          </w:p>
        </w:tc>
        <w:tc>
          <w:tcPr>
            <w:tcW w:w="1556" w:type="pct"/>
            <w:tcBorders>
              <w:top w:val="nil"/>
              <w:right w:val="single" w:sz="18" w:space="0" w:color="auto"/>
            </w:tcBorders>
          </w:tcPr>
          <w:p w:rsidR="00D83650" w:rsidRPr="00BE1F11"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&lt;0.0001</w:t>
            </w:r>
          </w:p>
        </w:tc>
      </w:tr>
    </w:tbl>
    <w:p w:rsidR="00D83650" w:rsidRDefault="00D83650" w:rsidP="00D83650">
      <w:pPr>
        <w:autoSpaceDE w:val="0"/>
        <w:autoSpaceDN w:val="0"/>
        <w:adjustRightInd w:val="0"/>
        <w:spacing w:after="0" w:line="480" w:lineRule="auto"/>
        <w:jc w:val="both"/>
        <w:rPr>
          <w:rFonts w:asciiTheme="majorBidi" w:hAnsiTheme="majorBidi" w:cstheme="majorBidi"/>
          <w:bCs/>
        </w:rPr>
      </w:pPr>
      <w:proofErr w:type="gramStart"/>
      <w:r w:rsidRPr="00456B7D">
        <w:rPr>
          <w:rFonts w:asciiTheme="majorBidi" w:hAnsiTheme="majorBidi" w:cstheme="majorBidi"/>
          <w:bCs/>
        </w:rPr>
        <w:t>ρ</w:t>
      </w:r>
      <w:proofErr w:type="gramEnd"/>
      <w:r w:rsidRPr="00456B7D">
        <w:rPr>
          <w:rFonts w:asciiTheme="majorBidi" w:hAnsiTheme="majorBidi" w:cstheme="majorBidi"/>
          <w:bCs/>
        </w:rPr>
        <w:t xml:space="preserve"> (rho)</w:t>
      </w:r>
      <w:r>
        <w:rPr>
          <w:rFonts w:asciiTheme="majorBidi" w:hAnsiTheme="majorBidi" w:cstheme="majorBidi"/>
          <w:bCs/>
        </w:rPr>
        <w:t xml:space="preserve"> = Pearson’s correlation coefficient</w:t>
      </w:r>
    </w:p>
    <w:p w:rsidR="00D83650" w:rsidRDefault="00D83650" w:rsidP="00D83650">
      <w:pPr>
        <w:spacing w:after="97" w:line="480" w:lineRule="auto"/>
        <w:ind w:right="4"/>
        <w:jc w:val="both"/>
        <w:rPr>
          <w:rStyle w:val="SubtleEmphasis"/>
          <w:rFonts w:asciiTheme="majorBidi" w:hAnsiTheme="majorBidi" w:cstheme="majorBidi"/>
          <w:b/>
          <w:i w:val="0"/>
          <w:color w:val="0D0D0D" w:themeColor="text1" w:themeTint="F2"/>
        </w:rPr>
      </w:pPr>
      <w:proofErr w:type="gramStart"/>
      <w:r>
        <w:rPr>
          <w:rStyle w:val="SubtleEmphasis"/>
          <w:rFonts w:asciiTheme="majorBidi" w:hAnsiTheme="majorBidi" w:cstheme="majorBidi"/>
          <w:b/>
          <w:i w:val="0"/>
          <w:color w:val="0D0D0D" w:themeColor="text1" w:themeTint="F2"/>
        </w:rPr>
        <w:lastRenderedPageBreak/>
        <w:t>Table 3.</w:t>
      </w:r>
      <w:proofErr w:type="gramEnd"/>
      <w:r>
        <w:rPr>
          <w:rStyle w:val="SubtleEmphasis"/>
          <w:rFonts w:asciiTheme="majorBidi" w:hAnsiTheme="majorBidi" w:cstheme="majorBidi"/>
          <w:b/>
          <w:i w:val="0"/>
          <w:color w:val="0D0D0D" w:themeColor="text1" w:themeTint="F2"/>
        </w:rPr>
        <w:t xml:space="preserve"> Correlation coefficient of STAI-S in the operating room against HR</w:t>
      </w:r>
    </w:p>
    <w:tbl>
      <w:tblPr>
        <w:tblStyle w:val="MediumShading2-Accent5"/>
        <w:tblW w:w="4944" w:type="pct"/>
        <w:tblInd w:w="108" w:type="dxa"/>
        <w:tblBorders>
          <w:left w:val="single" w:sz="18" w:space="0" w:color="auto"/>
          <w:right w:val="single" w:sz="18" w:space="0" w:color="auto"/>
          <w:insideH w:val="single" w:sz="6" w:space="0" w:color="auto"/>
          <w:insideV w:val="single" w:sz="6" w:space="0" w:color="auto"/>
        </w:tblBorders>
        <w:tblLook w:val="0660"/>
      </w:tblPr>
      <w:tblGrid>
        <w:gridCol w:w="3520"/>
        <w:gridCol w:w="3002"/>
        <w:gridCol w:w="2947"/>
      </w:tblGrid>
      <w:tr w:rsidR="00D83650" w:rsidRPr="006370A8" w:rsidTr="007946E1">
        <w:trPr>
          <w:cnfStyle w:val="100000000000"/>
          <w:trHeight w:val="790"/>
        </w:trPr>
        <w:tc>
          <w:tcPr>
            <w:tcW w:w="1859" w:type="pct"/>
            <w:vMerge w:val="restart"/>
            <w:tcBorders>
              <w:left w:val="single" w:sz="18" w:space="0" w:color="auto"/>
              <w:bottom w:val="nil"/>
            </w:tcBorders>
            <w:shd w:val="clear" w:color="auto" w:fill="548DD4" w:themeFill="text2" w:themeFillTint="99"/>
            <w:noWrap/>
          </w:tcPr>
          <w:p w:rsidR="00D83650" w:rsidRPr="006370A8" w:rsidRDefault="00D83650" w:rsidP="007946E1">
            <w:pPr>
              <w:spacing w:before="240" w:line="480" w:lineRule="auto"/>
              <w:rPr>
                <w:rFonts w:asciiTheme="majorBidi" w:hAnsiTheme="majorBidi" w:cstheme="majorBidi"/>
              </w:rPr>
            </w:pPr>
            <w:r>
              <w:rPr>
                <w:rFonts w:asciiTheme="majorBidi" w:hAnsiTheme="majorBidi" w:cstheme="majorBidi"/>
              </w:rPr>
              <w:t>Patient characteristics</w:t>
            </w:r>
          </w:p>
        </w:tc>
        <w:tc>
          <w:tcPr>
            <w:tcW w:w="3141" w:type="pct"/>
            <w:gridSpan w:val="2"/>
            <w:tcBorders>
              <w:bottom w:val="nil"/>
              <w:right w:val="single" w:sz="18" w:space="0" w:color="auto"/>
            </w:tcBorders>
            <w:shd w:val="clear" w:color="auto" w:fill="548DD4" w:themeFill="text2" w:themeFillTint="99"/>
          </w:tcPr>
          <w:p w:rsidR="00D83650" w:rsidRPr="00187072" w:rsidRDefault="00D83650" w:rsidP="007946E1">
            <w:pPr>
              <w:spacing w:before="240" w:line="480" w:lineRule="auto"/>
              <w:jc w:val="center"/>
              <w:rPr>
                <w:rFonts w:asciiTheme="majorBidi" w:hAnsiTheme="majorBidi" w:cstheme="majorBidi"/>
                <w:b w:val="0"/>
                <w:bCs w:val="0"/>
              </w:rPr>
            </w:pPr>
            <w:r>
              <w:rPr>
                <w:rFonts w:asciiTheme="majorBidi" w:hAnsiTheme="majorBidi" w:cstheme="majorBidi"/>
              </w:rPr>
              <w:t>Heart Rate (HR)</w:t>
            </w:r>
          </w:p>
        </w:tc>
      </w:tr>
      <w:tr w:rsidR="00D83650" w:rsidRPr="006370A8" w:rsidTr="007946E1">
        <w:trPr>
          <w:trHeight w:val="545"/>
        </w:trPr>
        <w:tc>
          <w:tcPr>
            <w:tcW w:w="1859" w:type="pct"/>
            <w:vMerge/>
            <w:tcBorders>
              <w:top w:val="nil"/>
              <w:left w:val="single" w:sz="18" w:space="0" w:color="auto"/>
              <w:bottom w:val="single" w:sz="18" w:space="0" w:color="auto"/>
              <w:right w:val="nil"/>
            </w:tcBorders>
            <w:shd w:val="clear" w:color="auto" w:fill="548DD4" w:themeFill="text2" w:themeFillTint="99"/>
            <w:noWrap/>
          </w:tcPr>
          <w:p w:rsidR="00D83650" w:rsidRDefault="00D83650" w:rsidP="007946E1">
            <w:pPr>
              <w:spacing w:before="240" w:line="480" w:lineRule="auto"/>
              <w:jc w:val="both"/>
              <w:rPr>
                <w:rFonts w:asciiTheme="majorBidi" w:hAnsiTheme="majorBidi" w:cstheme="majorBidi"/>
              </w:rPr>
            </w:pPr>
          </w:p>
        </w:tc>
        <w:tc>
          <w:tcPr>
            <w:tcW w:w="1585" w:type="pct"/>
            <w:tcBorders>
              <w:top w:val="nil"/>
              <w:left w:val="nil"/>
              <w:bottom w:val="single" w:sz="18" w:space="0" w:color="auto"/>
              <w:right w:val="nil"/>
            </w:tcBorders>
            <w:shd w:val="clear" w:color="auto" w:fill="548DD4" w:themeFill="text2" w:themeFillTint="99"/>
          </w:tcPr>
          <w:p w:rsidR="00D83650" w:rsidRPr="00187072" w:rsidRDefault="00D83650" w:rsidP="007946E1">
            <w:pPr>
              <w:spacing w:before="240" w:line="480" w:lineRule="auto"/>
              <w:jc w:val="center"/>
              <w:rPr>
                <w:rFonts w:asciiTheme="majorBidi" w:hAnsiTheme="majorBidi" w:cstheme="majorBidi"/>
                <w:b/>
                <w:color w:val="FFFFFF" w:themeColor="background1"/>
              </w:rPr>
            </w:pPr>
            <w:r w:rsidRPr="00187072">
              <w:rPr>
                <w:rFonts w:asciiTheme="majorBidi" w:hAnsiTheme="majorBidi" w:cstheme="majorBidi"/>
                <w:b/>
                <w:color w:val="FFFFFF" w:themeColor="background1"/>
              </w:rPr>
              <w:t>ρ (rho)</w:t>
            </w:r>
          </w:p>
        </w:tc>
        <w:tc>
          <w:tcPr>
            <w:tcW w:w="1556" w:type="pct"/>
            <w:tcBorders>
              <w:top w:val="nil"/>
              <w:left w:val="nil"/>
              <w:bottom w:val="single" w:sz="18" w:space="0" w:color="auto"/>
              <w:right w:val="single" w:sz="18" w:space="0" w:color="auto"/>
            </w:tcBorders>
            <w:shd w:val="clear" w:color="auto" w:fill="548DD4" w:themeFill="text2" w:themeFillTint="99"/>
          </w:tcPr>
          <w:p w:rsidR="00D83650" w:rsidRPr="00187072" w:rsidRDefault="00D83650" w:rsidP="007946E1">
            <w:pPr>
              <w:spacing w:before="240" w:line="480" w:lineRule="auto"/>
              <w:jc w:val="center"/>
              <w:rPr>
                <w:rFonts w:asciiTheme="majorBidi" w:hAnsiTheme="majorBidi" w:cstheme="majorBidi"/>
                <w:b/>
                <w:color w:val="FFFFFF" w:themeColor="background1"/>
              </w:rPr>
            </w:pPr>
            <w:r w:rsidRPr="00187072">
              <w:rPr>
                <w:rFonts w:asciiTheme="majorBidi" w:hAnsiTheme="majorBidi" w:cstheme="majorBidi"/>
                <w:b/>
                <w:i/>
                <w:iCs/>
                <w:color w:val="FFFFFF" w:themeColor="background1"/>
              </w:rPr>
              <w:t xml:space="preserve">p </w:t>
            </w:r>
            <w:r w:rsidRPr="00187072">
              <w:rPr>
                <w:rFonts w:asciiTheme="majorBidi" w:hAnsiTheme="majorBidi" w:cstheme="majorBidi"/>
                <w:b/>
                <w:color w:val="FFFFFF" w:themeColor="background1"/>
              </w:rPr>
              <w:t>value</w:t>
            </w:r>
          </w:p>
        </w:tc>
      </w:tr>
      <w:tr w:rsidR="00D83650" w:rsidRPr="006370A8" w:rsidTr="007946E1">
        <w:trPr>
          <w:cnfStyle w:val="010000000000"/>
          <w:trHeight w:val="802"/>
        </w:trPr>
        <w:tc>
          <w:tcPr>
            <w:tcW w:w="1859" w:type="pct"/>
            <w:tcBorders>
              <w:top w:val="nil"/>
              <w:left w:val="single" w:sz="18" w:space="0" w:color="auto"/>
            </w:tcBorders>
            <w:noWrap/>
          </w:tcPr>
          <w:p w:rsidR="00D83650" w:rsidRPr="006370A8" w:rsidRDefault="00D83650" w:rsidP="007946E1">
            <w:pPr>
              <w:spacing w:before="240" w:line="480" w:lineRule="auto"/>
              <w:jc w:val="both"/>
              <w:rPr>
                <w:rFonts w:asciiTheme="majorBidi" w:hAnsiTheme="majorBidi" w:cstheme="majorBidi"/>
              </w:rPr>
            </w:pPr>
            <w:r>
              <w:rPr>
                <w:rFonts w:asciiTheme="majorBidi" w:hAnsiTheme="majorBidi" w:cstheme="majorBidi"/>
              </w:rPr>
              <w:t>STAI-S in operating room</w:t>
            </w:r>
          </w:p>
        </w:tc>
        <w:tc>
          <w:tcPr>
            <w:tcW w:w="1585" w:type="pct"/>
            <w:tcBorders>
              <w:top w:val="nil"/>
            </w:tcBorders>
          </w:tcPr>
          <w:p w:rsidR="00D83650" w:rsidRPr="00BE1F11" w:rsidRDefault="00D83650" w:rsidP="007946E1">
            <w:pPr>
              <w:pStyle w:val="DecimalAligned"/>
              <w:spacing w:before="240" w:line="480" w:lineRule="auto"/>
              <w:jc w:val="center"/>
              <w:rPr>
                <w:rFonts w:asciiTheme="majorBidi" w:hAnsiTheme="majorBidi" w:cstheme="majorBidi"/>
              </w:rPr>
            </w:pPr>
            <w:r>
              <w:rPr>
                <w:rFonts w:ascii="Times New Roman" w:hAnsi="Times New Roman" w:cs="Times New Roman"/>
              </w:rPr>
              <w:t>0.606</w:t>
            </w:r>
          </w:p>
        </w:tc>
        <w:tc>
          <w:tcPr>
            <w:tcW w:w="1556" w:type="pct"/>
            <w:tcBorders>
              <w:top w:val="nil"/>
              <w:right w:val="single" w:sz="18" w:space="0" w:color="auto"/>
            </w:tcBorders>
          </w:tcPr>
          <w:p w:rsidR="00D83650" w:rsidRPr="00BE1F11" w:rsidRDefault="00D83650" w:rsidP="007946E1">
            <w:pPr>
              <w:pStyle w:val="DecimalAligned"/>
              <w:spacing w:before="240" w:line="480" w:lineRule="auto"/>
              <w:jc w:val="center"/>
              <w:rPr>
                <w:rFonts w:asciiTheme="majorBidi" w:hAnsiTheme="majorBidi" w:cstheme="majorBidi"/>
              </w:rPr>
            </w:pPr>
            <w:r>
              <w:rPr>
                <w:rFonts w:asciiTheme="majorBidi" w:hAnsiTheme="majorBidi" w:cstheme="majorBidi"/>
              </w:rPr>
              <w:t>&lt;0.0001</w:t>
            </w:r>
          </w:p>
        </w:tc>
      </w:tr>
    </w:tbl>
    <w:p w:rsidR="00D83650" w:rsidRDefault="00D83650" w:rsidP="00D83650">
      <w:pPr>
        <w:spacing w:after="97" w:line="480" w:lineRule="auto"/>
        <w:ind w:right="4"/>
        <w:jc w:val="both"/>
        <w:rPr>
          <w:rStyle w:val="Bodytext11"/>
          <w:rFonts w:asciiTheme="majorBidi" w:hAnsiTheme="majorBidi" w:cstheme="majorBidi"/>
          <w:bCs/>
          <w:sz w:val="22"/>
          <w:szCs w:val="22"/>
        </w:rPr>
      </w:pPr>
      <w:proofErr w:type="gramStart"/>
      <w:r w:rsidRPr="00456B7D">
        <w:rPr>
          <w:rFonts w:asciiTheme="majorBidi" w:hAnsiTheme="majorBidi" w:cstheme="majorBidi"/>
          <w:bCs/>
        </w:rPr>
        <w:t>ρ</w:t>
      </w:r>
      <w:proofErr w:type="gramEnd"/>
      <w:r w:rsidRPr="00456B7D">
        <w:rPr>
          <w:rFonts w:asciiTheme="majorBidi" w:hAnsiTheme="majorBidi" w:cstheme="majorBidi"/>
          <w:bCs/>
        </w:rPr>
        <w:t xml:space="preserve"> (rho)</w:t>
      </w:r>
      <w:r>
        <w:rPr>
          <w:rFonts w:asciiTheme="majorBidi" w:hAnsiTheme="majorBidi" w:cstheme="majorBidi"/>
          <w:bCs/>
        </w:rPr>
        <w:t xml:space="preserve"> = Pearson’s correlation coefficient</w:t>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roofErr w:type="gramStart"/>
      <w:r>
        <w:rPr>
          <w:rStyle w:val="SubtleEmphasis"/>
          <w:rFonts w:asciiTheme="majorBidi" w:hAnsiTheme="majorBidi" w:cstheme="majorBidi"/>
          <w:b/>
          <w:i w:val="0"/>
          <w:color w:val="0D0D0D" w:themeColor="text1" w:themeTint="F2"/>
        </w:rPr>
        <w:t>Figure 1.</w:t>
      </w:r>
      <w:proofErr w:type="gramEnd"/>
      <w:r>
        <w:rPr>
          <w:rStyle w:val="SubtleEmphasis"/>
          <w:rFonts w:asciiTheme="majorBidi" w:hAnsiTheme="majorBidi" w:cstheme="majorBidi"/>
          <w:b/>
          <w:i w:val="0"/>
          <w:color w:val="0D0D0D" w:themeColor="text1" w:themeTint="F2"/>
        </w:rPr>
        <w:t xml:space="preserve"> Scatter diagram showing relationship between STAI-T in waiting room and </w:t>
      </w:r>
      <w:proofErr w:type="spellStart"/>
      <w:r>
        <w:rPr>
          <w:rStyle w:val="SubtleEmphasis"/>
          <w:rFonts w:asciiTheme="majorBidi" w:hAnsiTheme="majorBidi" w:cstheme="majorBidi"/>
          <w:b/>
          <w:i w:val="0"/>
          <w:color w:val="0D0D0D" w:themeColor="text1" w:themeTint="F2"/>
        </w:rPr>
        <w:t>propofol</w:t>
      </w:r>
      <w:proofErr w:type="spellEnd"/>
      <w:r>
        <w:rPr>
          <w:rStyle w:val="SubtleEmphasis"/>
          <w:rFonts w:asciiTheme="majorBidi" w:hAnsiTheme="majorBidi" w:cstheme="majorBidi"/>
          <w:b/>
          <w:i w:val="0"/>
          <w:color w:val="0D0D0D" w:themeColor="text1" w:themeTint="F2"/>
        </w:rPr>
        <w:t xml:space="preserve"> dose</w:t>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r w:rsidRPr="006B25F2">
        <w:rPr>
          <w:rStyle w:val="SubtleEmphasis"/>
          <w:rFonts w:asciiTheme="majorBidi" w:hAnsiTheme="majorBidi" w:cstheme="majorBidi"/>
          <w:b/>
          <w:i w:val="0"/>
          <w:noProof/>
          <w:color w:val="0D0D0D" w:themeColor="text1" w:themeTint="F2"/>
          <w:lang w:val="en-IN" w:eastAsia="en-IN"/>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roofErr w:type="gramStart"/>
      <w:r>
        <w:rPr>
          <w:rStyle w:val="SubtleEmphasis"/>
          <w:rFonts w:asciiTheme="majorBidi" w:hAnsiTheme="majorBidi" w:cstheme="majorBidi"/>
          <w:b/>
          <w:i w:val="0"/>
          <w:color w:val="0D0D0D" w:themeColor="text1" w:themeTint="F2"/>
        </w:rPr>
        <w:lastRenderedPageBreak/>
        <w:t>Figure 2.</w:t>
      </w:r>
      <w:proofErr w:type="gramEnd"/>
      <w:r>
        <w:rPr>
          <w:rStyle w:val="SubtleEmphasis"/>
          <w:rFonts w:asciiTheme="majorBidi" w:hAnsiTheme="majorBidi" w:cstheme="majorBidi"/>
          <w:b/>
          <w:i w:val="0"/>
          <w:color w:val="0D0D0D" w:themeColor="text1" w:themeTint="F2"/>
        </w:rPr>
        <w:t xml:space="preserve"> Scatter diagram showing relationship between STAI-S in waiting room and </w:t>
      </w:r>
      <w:proofErr w:type="spellStart"/>
      <w:r>
        <w:rPr>
          <w:rStyle w:val="SubtleEmphasis"/>
          <w:rFonts w:asciiTheme="majorBidi" w:hAnsiTheme="majorBidi" w:cstheme="majorBidi"/>
          <w:b/>
          <w:i w:val="0"/>
          <w:color w:val="0D0D0D" w:themeColor="text1" w:themeTint="F2"/>
        </w:rPr>
        <w:t>propofol</w:t>
      </w:r>
      <w:proofErr w:type="spellEnd"/>
      <w:r>
        <w:rPr>
          <w:rStyle w:val="SubtleEmphasis"/>
          <w:rFonts w:asciiTheme="majorBidi" w:hAnsiTheme="majorBidi" w:cstheme="majorBidi"/>
          <w:b/>
          <w:i w:val="0"/>
          <w:color w:val="0D0D0D" w:themeColor="text1" w:themeTint="F2"/>
        </w:rPr>
        <w:t xml:space="preserve"> dose</w:t>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r w:rsidRPr="006B25F2">
        <w:rPr>
          <w:rStyle w:val="SubtleEmphasis"/>
          <w:rFonts w:asciiTheme="majorBidi" w:hAnsiTheme="majorBidi" w:cstheme="majorBidi"/>
          <w:b/>
          <w:i w:val="0"/>
          <w:noProof/>
          <w:color w:val="0D0D0D" w:themeColor="text1" w:themeTint="F2"/>
          <w:lang w:val="en-IN" w:eastAsia="en-IN"/>
        </w:rPr>
        <w:drawing>
          <wp:inline distT="0" distB="0" distL="0" distR="0">
            <wp:extent cx="5268567" cy="3200400"/>
            <wp:effectExtent l="19050" t="0" r="27333"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roofErr w:type="gramStart"/>
      <w:r>
        <w:rPr>
          <w:rStyle w:val="SubtleEmphasis"/>
          <w:rFonts w:asciiTheme="majorBidi" w:hAnsiTheme="majorBidi" w:cstheme="majorBidi"/>
          <w:b/>
          <w:i w:val="0"/>
          <w:color w:val="0D0D0D" w:themeColor="text1" w:themeTint="F2"/>
        </w:rPr>
        <w:t>Figure 3.</w:t>
      </w:r>
      <w:proofErr w:type="gramEnd"/>
      <w:r>
        <w:rPr>
          <w:rStyle w:val="SubtleEmphasis"/>
          <w:rFonts w:asciiTheme="majorBidi" w:hAnsiTheme="majorBidi" w:cstheme="majorBidi"/>
          <w:b/>
          <w:i w:val="0"/>
          <w:color w:val="0D0D0D" w:themeColor="text1" w:themeTint="F2"/>
        </w:rPr>
        <w:t xml:space="preserve"> Scatter diagram showing relationship between STAI-S in operating room and </w:t>
      </w:r>
      <w:proofErr w:type="spellStart"/>
      <w:r>
        <w:rPr>
          <w:rStyle w:val="SubtleEmphasis"/>
          <w:rFonts w:asciiTheme="majorBidi" w:hAnsiTheme="majorBidi" w:cstheme="majorBidi"/>
          <w:b/>
          <w:i w:val="0"/>
          <w:color w:val="0D0D0D" w:themeColor="text1" w:themeTint="F2"/>
        </w:rPr>
        <w:t>propofol</w:t>
      </w:r>
      <w:proofErr w:type="spellEnd"/>
      <w:r>
        <w:rPr>
          <w:rStyle w:val="SubtleEmphasis"/>
          <w:rFonts w:asciiTheme="majorBidi" w:hAnsiTheme="majorBidi" w:cstheme="majorBidi"/>
          <w:b/>
          <w:i w:val="0"/>
          <w:color w:val="0D0D0D" w:themeColor="text1" w:themeTint="F2"/>
        </w:rPr>
        <w:t xml:space="preserve"> dose</w:t>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r w:rsidRPr="0092660B">
        <w:rPr>
          <w:rStyle w:val="SubtleEmphasis"/>
          <w:rFonts w:asciiTheme="majorBidi" w:hAnsiTheme="majorBidi" w:cstheme="majorBidi"/>
          <w:b/>
          <w:i w:val="0"/>
          <w:noProof/>
          <w:color w:val="0D0D0D" w:themeColor="text1" w:themeTint="F2"/>
          <w:lang w:val="en-IN" w:eastAsia="en-IN"/>
        </w:rPr>
        <w:drawing>
          <wp:inline distT="0" distB="0" distL="0" distR="0">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roofErr w:type="gramStart"/>
      <w:r>
        <w:rPr>
          <w:rStyle w:val="SubtleEmphasis"/>
          <w:rFonts w:asciiTheme="majorBidi" w:hAnsiTheme="majorBidi" w:cstheme="majorBidi"/>
          <w:b/>
          <w:i w:val="0"/>
          <w:color w:val="0D0D0D" w:themeColor="text1" w:themeTint="F2"/>
        </w:rPr>
        <w:lastRenderedPageBreak/>
        <w:t>Figure 4.</w:t>
      </w:r>
      <w:proofErr w:type="gramEnd"/>
      <w:r>
        <w:rPr>
          <w:rStyle w:val="SubtleEmphasis"/>
          <w:rFonts w:asciiTheme="majorBidi" w:hAnsiTheme="majorBidi" w:cstheme="majorBidi"/>
          <w:b/>
          <w:i w:val="0"/>
          <w:color w:val="0D0D0D" w:themeColor="text1" w:themeTint="F2"/>
        </w:rPr>
        <w:t xml:space="preserve"> Scatter diagram showing relationship between HR in operating room and </w:t>
      </w:r>
      <w:proofErr w:type="spellStart"/>
      <w:r>
        <w:rPr>
          <w:rStyle w:val="SubtleEmphasis"/>
          <w:rFonts w:asciiTheme="majorBidi" w:hAnsiTheme="majorBidi" w:cstheme="majorBidi"/>
          <w:b/>
          <w:i w:val="0"/>
          <w:color w:val="0D0D0D" w:themeColor="text1" w:themeTint="F2"/>
        </w:rPr>
        <w:t>propofol</w:t>
      </w:r>
      <w:proofErr w:type="spellEnd"/>
      <w:r>
        <w:rPr>
          <w:rStyle w:val="SubtleEmphasis"/>
          <w:rFonts w:asciiTheme="majorBidi" w:hAnsiTheme="majorBidi" w:cstheme="majorBidi"/>
          <w:b/>
          <w:i w:val="0"/>
          <w:color w:val="0D0D0D" w:themeColor="text1" w:themeTint="F2"/>
        </w:rPr>
        <w:t xml:space="preserve"> dose</w:t>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r w:rsidRPr="0092660B">
        <w:rPr>
          <w:rStyle w:val="SubtleEmphasis"/>
          <w:rFonts w:asciiTheme="majorBidi" w:hAnsiTheme="majorBidi" w:cstheme="majorBidi"/>
          <w:b/>
          <w:i w:val="0"/>
          <w:noProof/>
          <w:color w:val="0D0D0D" w:themeColor="text1" w:themeTint="F2"/>
          <w:lang w:val="en-IN" w:eastAsia="en-IN"/>
        </w:rPr>
        <w:drawing>
          <wp:inline distT="0" distB="0" distL="0" distR="0">
            <wp:extent cx="5486400" cy="3200400"/>
            <wp:effectExtent l="19050" t="0" r="19050" b="0"/>
            <wp:docPr id="5"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83650" w:rsidRDefault="00D83650" w:rsidP="00D83650">
      <w:pPr>
        <w:spacing w:before="240" w:after="0" w:line="480" w:lineRule="auto"/>
        <w:jc w:val="both"/>
        <w:rPr>
          <w:rStyle w:val="SubtleEmphasis"/>
          <w:rFonts w:asciiTheme="majorBidi" w:hAnsiTheme="majorBidi" w:cstheme="majorBidi"/>
          <w:b/>
          <w:i w:val="0"/>
          <w:color w:val="0D0D0D" w:themeColor="text1" w:themeTint="F2"/>
        </w:rPr>
      </w:pPr>
      <w:proofErr w:type="gramStart"/>
      <w:r>
        <w:rPr>
          <w:rStyle w:val="SubtleEmphasis"/>
          <w:rFonts w:asciiTheme="majorBidi" w:hAnsiTheme="majorBidi" w:cstheme="majorBidi"/>
          <w:b/>
          <w:i w:val="0"/>
          <w:color w:val="0D0D0D" w:themeColor="text1" w:themeTint="F2"/>
        </w:rPr>
        <w:t>Figure 5.</w:t>
      </w:r>
      <w:proofErr w:type="gramEnd"/>
      <w:r>
        <w:rPr>
          <w:rStyle w:val="SubtleEmphasis"/>
          <w:rFonts w:asciiTheme="majorBidi" w:hAnsiTheme="majorBidi" w:cstheme="majorBidi"/>
          <w:b/>
          <w:i w:val="0"/>
          <w:color w:val="0D0D0D" w:themeColor="text1" w:themeTint="F2"/>
        </w:rPr>
        <w:t xml:space="preserve"> Scatter diagram showing relationship between STAI-S and HR in operating room</w:t>
      </w:r>
    </w:p>
    <w:p w:rsidR="00D83650" w:rsidRDefault="00D83650" w:rsidP="00D83650">
      <w:pPr>
        <w:spacing w:before="240" w:after="0" w:line="480" w:lineRule="auto"/>
        <w:jc w:val="both"/>
        <w:rPr>
          <w:rFonts w:asciiTheme="majorBidi" w:hAnsiTheme="majorBidi" w:cstheme="majorBidi"/>
        </w:rPr>
      </w:pPr>
      <w:r w:rsidRPr="00B0192B">
        <w:rPr>
          <w:rFonts w:asciiTheme="majorBidi" w:hAnsiTheme="majorBidi" w:cstheme="majorBidi"/>
          <w:noProof/>
          <w:lang w:val="en-IN" w:eastAsia="en-IN"/>
        </w:rPr>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83650" w:rsidRDefault="00D83650" w:rsidP="00D83650">
      <w:pPr>
        <w:autoSpaceDE w:val="0"/>
        <w:autoSpaceDN w:val="0"/>
        <w:adjustRightInd w:val="0"/>
        <w:spacing w:after="0" w:line="480" w:lineRule="auto"/>
        <w:jc w:val="both"/>
        <w:rPr>
          <w:rStyle w:val="Bodytext4"/>
          <w:rFonts w:asciiTheme="majorBidi" w:hAnsiTheme="majorBidi" w:cstheme="majorBidi"/>
          <w:sz w:val="22"/>
          <w:szCs w:val="22"/>
        </w:rPr>
      </w:pPr>
    </w:p>
    <w:sectPr w:rsidR="00D83650" w:rsidSect="0018707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8F4" w:rsidRDefault="001468F4" w:rsidP="00EB2C69">
      <w:pPr>
        <w:spacing w:after="0" w:line="240" w:lineRule="auto"/>
      </w:pPr>
      <w:r>
        <w:separator/>
      </w:r>
    </w:p>
  </w:endnote>
  <w:endnote w:type="continuationSeparator" w:id="1">
    <w:p w:rsidR="001468F4" w:rsidRDefault="001468F4" w:rsidP="00EB2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8F4" w:rsidRDefault="001468F4" w:rsidP="00EB2C69">
      <w:pPr>
        <w:spacing w:after="0" w:line="240" w:lineRule="auto"/>
      </w:pPr>
      <w:r>
        <w:separator/>
      </w:r>
    </w:p>
  </w:footnote>
  <w:footnote w:type="continuationSeparator" w:id="1">
    <w:p w:rsidR="001468F4" w:rsidRDefault="001468F4" w:rsidP="00EB2C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decimal"/>
      <w:lvlText w:val="%1."/>
      <w:lvlJc w:val="left"/>
      <w:rPr>
        <w:rFonts w:ascii="Angsana New" w:hAnsi="Angsana New" w:cs="Angsana New"/>
        <w:b w:val="0"/>
        <w:bCs w:val="0"/>
        <w:i w:val="0"/>
        <w:iCs w:val="0"/>
        <w:smallCaps w:val="0"/>
        <w:strike w:val="0"/>
        <w:color w:val="000000"/>
        <w:spacing w:val="0"/>
        <w:w w:val="100"/>
        <w:position w:val="0"/>
        <w:sz w:val="34"/>
        <w:szCs w:val="34"/>
        <w:u w:val="none"/>
      </w:rPr>
    </w:lvl>
    <w:lvl w:ilvl="1">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lvl w:ilvl="2">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lvl w:ilvl="3">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lvl w:ilvl="4">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lvl w:ilvl="5">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lvl w:ilvl="6">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lvl w:ilvl="7">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lvl w:ilvl="8">
      <w:start w:val="48"/>
      <w:numFmt w:val="decimal"/>
      <w:lvlText w:val="%2."/>
      <w:lvlJc w:val="left"/>
      <w:rPr>
        <w:rFonts w:ascii="Angsana New" w:hAnsi="Angsana New" w:cs="Angsana New"/>
        <w:b w:val="0"/>
        <w:bCs w:val="0"/>
        <w:i w:val="0"/>
        <w:iCs w:val="0"/>
        <w:smallCaps w:val="0"/>
        <w:strike w:val="0"/>
        <w:color w:val="000000"/>
        <w:spacing w:val="0"/>
        <w:w w:val="100"/>
        <w:position w:val="0"/>
        <w:sz w:val="34"/>
        <w:szCs w:val="34"/>
        <w:u w:val="none"/>
      </w:rPr>
    </w:lvl>
  </w:abstractNum>
  <w:abstractNum w:abstractNumId="1">
    <w:nsid w:val="017B729E"/>
    <w:multiLevelType w:val="hybridMultilevel"/>
    <w:tmpl w:val="0580777C"/>
    <w:lvl w:ilvl="0" w:tplc="385A642A">
      <w:start w:val="1"/>
      <w:numFmt w:val="decimal"/>
      <w:lvlText w:val="%1."/>
      <w:lvlJc w:val="left"/>
      <w:pPr>
        <w:ind w:left="644"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63B7F04"/>
    <w:multiLevelType w:val="hybridMultilevel"/>
    <w:tmpl w:val="2B26C368"/>
    <w:lvl w:ilvl="0" w:tplc="89FAE67E">
      <w:numFmt w:val="bullet"/>
      <w:lvlText w:val=""/>
      <w:lvlJc w:val="left"/>
      <w:pPr>
        <w:ind w:left="720" w:hanging="360"/>
      </w:pPr>
      <w:rPr>
        <w:rFonts w:ascii="Symbol" w:eastAsiaTheme="minorEastAsia" w:hAnsi="Symbol"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31077DC"/>
    <w:multiLevelType w:val="hybridMultilevel"/>
    <w:tmpl w:val="5D2CF282"/>
    <w:lvl w:ilvl="0" w:tplc="5412BFF2">
      <w:start w:val="1"/>
      <w:numFmt w:val="decimal"/>
      <w:lvlText w:val="%1."/>
      <w:lvlJc w:val="left"/>
      <w:pPr>
        <w:ind w:left="720" w:hanging="360"/>
      </w:pPr>
      <w:rPr>
        <w:rFonts w:ascii="Times New Roman" w:eastAsia="Calibri"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C4168FD"/>
    <w:multiLevelType w:val="hybridMultilevel"/>
    <w:tmpl w:val="C0A0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2095B"/>
    <w:multiLevelType w:val="hybridMultilevel"/>
    <w:tmpl w:val="FBACBEEE"/>
    <w:lvl w:ilvl="0" w:tplc="4009000F">
      <w:start w:val="5"/>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6">
    <w:nsid w:val="720A44DA"/>
    <w:multiLevelType w:val="hybridMultilevel"/>
    <w:tmpl w:val="C45E03C0"/>
    <w:lvl w:ilvl="0" w:tplc="D6E0111C">
      <w:start w:val="1"/>
      <w:numFmt w:val="lowerLetter"/>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7">
    <w:nsid w:val="72BB2DA4"/>
    <w:multiLevelType w:val="hybridMultilevel"/>
    <w:tmpl w:val="60EA6052"/>
    <w:lvl w:ilvl="0" w:tplc="D452ED7E">
      <w:start w:val="1"/>
      <w:numFmt w:val="bullet"/>
      <w:lvlText w:val="►"/>
      <w:lvlJc w:val="left"/>
      <w:pPr>
        <w:ind w:left="761" w:hanging="360"/>
      </w:pPr>
      <w:rPr>
        <w:rFonts w:ascii="Times New Roman" w:hAnsi="Times New Roman" w:cs="Times New Roman" w:hint="default"/>
      </w:rPr>
    </w:lvl>
    <w:lvl w:ilvl="1" w:tplc="40090003" w:tentative="1">
      <w:start w:val="1"/>
      <w:numFmt w:val="bullet"/>
      <w:lvlText w:val="o"/>
      <w:lvlJc w:val="left"/>
      <w:pPr>
        <w:ind w:left="1481" w:hanging="360"/>
      </w:pPr>
      <w:rPr>
        <w:rFonts w:ascii="Courier New" w:hAnsi="Courier New" w:cs="Courier New" w:hint="default"/>
      </w:rPr>
    </w:lvl>
    <w:lvl w:ilvl="2" w:tplc="40090005" w:tentative="1">
      <w:start w:val="1"/>
      <w:numFmt w:val="bullet"/>
      <w:lvlText w:val=""/>
      <w:lvlJc w:val="left"/>
      <w:pPr>
        <w:ind w:left="2201" w:hanging="360"/>
      </w:pPr>
      <w:rPr>
        <w:rFonts w:ascii="Wingdings" w:hAnsi="Wingdings" w:hint="default"/>
      </w:rPr>
    </w:lvl>
    <w:lvl w:ilvl="3" w:tplc="40090001" w:tentative="1">
      <w:start w:val="1"/>
      <w:numFmt w:val="bullet"/>
      <w:lvlText w:val=""/>
      <w:lvlJc w:val="left"/>
      <w:pPr>
        <w:ind w:left="2921" w:hanging="360"/>
      </w:pPr>
      <w:rPr>
        <w:rFonts w:ascii="Symbol" w:hAnsi="Symbol" w:hint="default"/>
      </w:rPr>
    </w:lvl>
    <w:lvl w:ilvl="4" w:tplc="40090003" w:tentative="1">
      <w:start w:val="1"/>
      <w:numFmt w:val="bullet"/>
      <w:lvlText w:val="o"/>
      <w:lvlJc w:val="left"/>
      <w:pPr>
        <w:ind w:left="3641" w:hanging="360"/>
      </w:pPr>
      <w:rPr>
        <w:rFonts w:ascii="Courier New" w:hAnsi="Courier New" w:cs="Courier New" w:hint="default"/>
      </w:rPr>
    </w:lvl>
    <w:lvl w:ilvl="5" w:tplc="40090005" w:tentative="1">
      <w:start w:val="1"/>
      <w:numFmt w:val="bullet"/>
      <w:lvlText w:val=""/>
      <w:lvlJc w:val="left"/>
      <w:pPr>
        <w:ind w:left="4361" w:hanging="360"/>
      </w:pPr>
      <w:rPr>
        <w:rFonts w:ascii="Wingdings" w:hAnsi="Wingdings" w:hint="default"/>
      </w:rPr>
    </w:lvl>
    <w:lvl w:ilvl="6" w:tplc="40090001" w:tentative="1">
      <w:start w:val="1"/>
      <w:numFmt w:val="bullet"/>
      <w:lvlText w:val=""/>
      <w:lvlJc w:val="left"/>
      <w:pPr>
        <w:ind w:left="5081" w:hanging="360"/>
      </w:pPr>
      <w:rPr>
        <w:rFonts w:ascii="Symbol" w:hAnsi="Symbol" w:hint="default"/>
      </w:rPr>
    </w:lvl>
    <w:lvl w:ilvl="7" w:tplc="40090003" w:tentative="1">
      <w:start w:val="1"/>
      <w:numFmt w:val="bullet"/>
      <w:lvlText w:val="o"/>
      <w:lvlJc w:val="left"/>
      <w:pPr>
        <w:ind w:left="5801" w:hanging="360"/>
      </w:pPr>
      <w:rPr>
        <w:rFonts w:ascii="Courier New" w:hAnsi="Courier New" w:cs="Courier New" w:hint="default"/>
      </w:rPr>
    </w:lvl>
    <w:lvl w:ilvl="8" w:tplc="40090005" w:tentative="1">
      <w:start w:val="1"/>
      <w:numFmt w:val="bullet"/>
      <w:lvlText w:val=""/>
      <w:lvlJc w:val="left"/>
      <w:pPr>
        <w:ind w:left="6521" w:hanging="360"/>
      </w:pPr>
      <w:rPr>
        <w:rFonts w:ascii="Wingdings" w:hAnsi="Wingdings" w:hint="default"/>
      </w:rPr>
    </w:lvl>
  </w:abstractNum>
  <w:abstractNum w:abstractNumId="8">
    <w:nsid w:val="746524C3"/>
    <w:multiLevelType w:val="hybridMultilevel"/>
    <w:tmpl w:val="012C4F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6F73791"/>
    <w:multiLevelType w:val="hybridMultilevel"/>
    <w:tmpl w:val="969C673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B251DC5"/>
    <w:multiLevelType w:val="hybridMultilevel"/>
    <w:tmpl w:val="72580C16"/>
    <w:lvl w:ilvl="0" w:tplc="94BEA2D0">
      <w:numFmt w:val="bullet"/>
      <w:lvlText w:val=""/>
      <w:lvlJc w:val="left"/>
      <w:pPr>
        <w:ind w:left="720" w:hanging="360"/>
      </w:pPr>
      <w:rPr>
        <w:rFonts w:ascii="Symbol" w:eastAsiaTheme="minorEastAsia" w:hAnsi="Symbol" w:cstheme="maj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9"/>
  </w:num>
  <w:num w:numId="6">
    <w:abstractNumId w:val="10"/>
  </w:num>
  <w:num w:numId="7">
    <w:abstractNumId w:val="2"/>
  </w:num>
  <w:num w:numId="8">
    <w:abstractNumId w:val="8"/>
  </w:num>
  <w:num w:numId="9">
    <w:abstractNumId w:val="7"/>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3E5BFC"/>
    <w:rsid w:val="0000117A"/>
    <w:rsid w:val="00005E10"/>
    <w:rsid w:val="00006A69"/>
    <w:rsid w:val="00010DDF"/>
    <w:rsid w:val="000153B4"/>
    <w:rsid w:val="00017F94"/>
    <w:rsid w:val="00022901"/>
    <w:rsid w:val="00026990"/>
    <w:rsid w:val="00026C29"/>
    <w:rsid w:val="00027626"/>
    <w:rsid w:val="00030E31"/>
    <w:rsid w:val="00035235"/>
    <w:rsid w:val="000370C7"/>
    <w:rsid w:val="000416D7"/>
    <w:rsid w:val="000448C6"/>
    <w:rsid w:val="00045095"/>
    <w:rsid w:val="00054B27"/>
    <w:rsid w:val="00055861"/>
    <w:rsid w:val="000775F6"/>
    <w:rsid w:val="00083529"/>
    <w:rsid w:val="00084820"/>
    <w:rsid w:val="00091BF9"/>
    <w:rsid w:val="00093891"/>
    <w:rsid w:val="000952D1"/>
    <w:rsid w:val="000958E8"/>
    <w:rsid w:val="00097025"/>
    <w:rsid w:val="000A5496"/>
    <w:rsid w:val="000A6306"/>
    <w:rsid w:val="000C53C2"/>
    <w:rsid w:val="000D1206"/>
    <w:rsid w:val="000D18EF"/>
    <w:rsid w:val="000D3A6F"/>
    <w:rsid w:val="000E1E61"/>
    <w:rsid w:val="000E45CA"/>
    <w:rsid w:val="000F1644"/>
    <w:rsid w:val="000F61D3"/>
    <w:rsid w:val="000F69AF"/>
    <w:rsid w:val="00102BE8"/>
    <w:rsid w:val="00111E2F"/>
    <w:rsid w:val="001126FC"/>
    <w:rsid w:val="001237E7"/>
    <w:rsid w:val="001265BF"/>
    <w:rsid w:val="00132481"/>
    <w:rsid w:val="00132773"/>
    <w:rsid w:val="00132EBD"/>
    <w:rsid w:val="0013348C"/>
    <w:rsid w:val="00145BF1"/>
    <w:rsid w:val="001468F4"/>
    <w:rsid w:val="00152CE4"/>
    <w:rsid w:val="001535A7"/>
    <w:rsid w:val="001548C7"/>
    <w:rsid w:val="001706F0"/>
    <w:rsid w:val="00171226"/>
    <w:rsid w:val="001714A0"/>
    <w:rsid w:val="00173BE8"/>
    <w:rsid w:val="00176AD0"/>
    <w:rsid w:val="0018600A"/>
    <w:rsid w:val="00186265"/>
    <w:rsid w:val="00187072"/>
    <w:rsid w:val="0019257B"/>
    <w:rsid w:val="001A1BE8"/>
    <w:rsid w:val="001B26F7"/>
    <w:rsid w:val="001B2773"/>
    <w:rsid w:val="001B2D88"/>
    <w:rsid w:val="001C3BE0"/>
    <w:rsid w:val="001D2D4F"/>
    <w:rsid w:val="001E32DA"/>
    <w:rsid w:val="001E4B31"/>
    <w:rsid w:val="001E53A7"/>
    <w:rsid w:val="001E780C"/>
    <w:rsid w:val="001F4585"/>
    <w:rsid w:val="001F67D3"/>
    <w:rsid w:val="00200B3F"/>
    <w:rsid w:val="00215854"/>
    <w:rsid w:val="0021725B"/>
    <w:rsid w:val="002322F3"/>
    <w:rsid w:val="00232893"/>
    <w:rsid w:val="0023366C"/>
    <w:rsid w:val="00233908"/>
    <w:rsid w:val="002361C6"/>
    <w:rsid w:val="00237141"/>
    <w:rsid w:val="002417C1"/>
    <w:rsid w:val="002417F2"/>
    <w:rsid w:val="002451B0"/>
    <w:rsid w:val="00252A29"/>
    <w:rsid w:val="002629C2"/>
    <w:rsid w:val="002640D5"/>
    <w:rsid w:val="002656D5"/>
    <w:rsid w:val="00270940"/>
    <w:rsid w:val="00271895"/>
    <w:rsid w:val="002721E0"/>
    <w:rsid w:val="0027697D"/>
    <w:rsid w:val="00280106"/>
    <w:rsid w:val="00284323"/>
    <w:rsid w:val="00291C00"/>
    <w:rsid w:val="00292FB8"/>
    <w:rsid w:val="00296E7A"/>
    <w:rsid w:val="002A0F56"/>
    <w:rsid w:val="002A1519"/>
    <w:rsid w:val="002B021E"/>
    <w:rsid w:val="002B1E08"/>
    <w:rsid w:val="002B6C3C"/>
    <w:rsid w:val="002B764D"/>
    <w:rsid w:val="002B7922"/>
    <w:rsid w:val="002B79D4"/>
    <w:rsid w:val="002C089E"/>
    <w:rsid w:val="002C106B"/>
    <w:rsid w:val="002C21B6"/>
    <w:rsid w:val="002C2AAF"/>
    <w:rsid w:val="002D0A37"/>
    <w:rsid w:val="002D3077"/>
    <w:rsid w:val="002D30AE"/>
    <w:rsid w:val="002D648E"/>
    <w:rsid w:val="002E2149"/>
    <w:rsid w:val="002E2BD3"/>
    <w:rsid w:val="002E7A07"/>
    <w:rsid w:val="00311C40"/>
    <w:rsid w:val="003160B7"/>
    <w:rsid w:val="003333BF"/>
    <w:rsid w:val="00336E45"/>
    <w:rsid w:val="00336EDA"/>
    <w:rsid w:val="00340760"/>
    <w:rsid w:val="00344AF4"/>
    <w:rsid w:val="0034540E"/>
    <w:rsid w:val="0034561A"/>
    <w:rsid w:val="00347891"/>
    <w:rsid w:val="00347AA5"/>
    <w:rsid w:val="003566AC"/>
    <w:rsid w:val="003647F8"/>
    <w:rsid w:val="00366433"/>
    <w:rsid w:val="00370AC5"/>
    <w:rsid w:val="0037403D"/>
    <w:rsid w:val="00375353"/>
    <w:rsid w:val="0037730F"/>
    <w:rsid w:val="0038057A"/>
    <w:rsid w:val="0038645F"/>
    <w:rsid w:val="003909C2"/>
    <w:rsid w:val="00393435"/>
    <w:rsid w:val="00393EB6"/>
    <w:rsid w:val="00394878"/>
    <w:rsid w:val="003A46E1"/>
    <w:rsid w:val="003B074A"/>
    <w:rsid w:val="003B2761"/>
    <w:rsid w:val="003B3C0F"/>
    <w:rsid w:val="003B71B0"/>
    <w:rsid w:val="003B7D88"/>
    <w:rsid w:val="003C03AC"/>
    <w:rsid w:val="003C04E6"/>
    <w:rsid w:val="003C1155"/>
    <w:rsid w:val="003C3C85"/>
    <w:rsid w:val="003C4C98"/>
    <w:rsid w:val="003C7238"/>
    <w:rsid w:val="003E172A"/>
    <w:rsid w:val="003E5BFC"/>
    <w:rsid w:val="003E661F"/>
    <w:rsid w:val="0040121F"/>
    <w:rsid w:val="004022AB"/>
    <w:rsid w:val="00405CE3"/>
    <w:rsid w:val="0041002F"/>
    <w:rsid w:val="004101A9"/>
    <w:rsid w:val="004120AB"/>
    <w:rsid w:val="00427B6A"/>
    <w:rsid w:val="00432063"/>
    <w:rsid w:val="004414C9"/>
    <w:rsid w:val="00444405"/>
    <w:rsid w:val="004476A5"/>
    <w:rsid w:val="0044795E"/>
    <w:rsid w:val="004502FA"/>
    <w:rsid w:val="00451050"/>
    <w:rsid w:val="00456B7D"/>
    <w:rsid w:val="0046081D"/>
    <w:rsid w:val="004608C0"/>
    <w:rsid w:val="00463E10"/>
    <w:rsid w:val="00465A85"/>
    <w:rsid w:val="00470757"/>
    <w:rsid w:val="0047301D"/>
    <w:rsid w:val="004820FF"/>
    <w:rsid w:val="00483073"/>
    <w:rsid w:val="00483911"/>
    <w:rsid w:val="00490561"/>
    <w:rsid w:val="00491045"/>
    <w:rsid w:val="0049262C"/>
    <w:rsid w:val="004930D3"/>
    <w:rsid w:val="004931BA"/>
    <w:rsid w:val="0049747A"/>
    <w:rsid w:val="004A3C5E"/>
    <w:rsid w:val="004A4F9E"/>
    <w:rsid w:val="004A6C63"/>
    <w:rsid w:val="004A7CC9"/>
    <w:rsid w:val="004B1AF7"/>
    <w:rsid w:val="004B1BC7"/>
    <w:rsid w:val="004C1ECE"/>
    <w:rsid w:val="004C4B5F"/>
    <w:rsid w:val="004C4D5E"/>
    <w:rsid w:val="004C5FF9"/>
    <w:rsid w:val="004D0377"/>
    <w:rsid w:val="004D05A8"/>
    <w:rsid w:val="004D0AD7"/>
    <w:rsid w:val="004D27AD"/>
    <w:rsid w:val="004D2CFA"/>
    <w:rsid w:val="004E0FCD"/>
    <w:rsid w:val="004E1A3A"/>
    <w:rsid w:val="004E304A"/>
    <w:rsid w:val="004F3D9F"/>
    <w:rsid w:val="004F6C83"/>
    <w:rsid w:val="0050148B"/>
    <w:rsid w:val="00502858"/>
    <w:rsid w:val="00503572"/>
    <w:rsid w:val="00517261"/>
    <w:rsid w:val="005259A6"/>
    <w:rsid w:val="005279B9"/>
    <w:rsid w:val="0053264A"/>
    <w:rsid w:val="00534379"/>
    <w:rsid w:val="00534B3A"/>
    <w:rsid w:val="00536A6D"/>
    <w:rsid w:val="00542175"/>
    <w:rsid w:val="00551BE5"/>
    <w:rsid w:val="00552D0A"/>
    <w:rsid w:val="00557AED"/>
    <w:rsid w:val="005608B8"/>
    <w:rsid w:val="00560F5A"/>
    <w:rsid w:val="00562CDA"/>
    <w:rsid w:val="00566868"/>
    <w:rsid w:val="005756DF"/>
    <w:rsid w:val="00591C86"/>
    <w:rsid w:val="0059274B"/>
    <w:rsid w:val="00595DC1"/>
    <w:rsid w:val="0059740D"/>
    <w:rsid w:val="005A0FC6"/>
    <w:rsid w:val="005A2203"/>
    <w:rsid w:val="005B0729"/>
    <w:rsid w:val="005B0F3A"/>
    <w:rsid w:val="005B16AF"/>
    <w:rsid w:val="005B1B88"/>
    <w:rsid w:val="005B2B7F"/>
    <w:rsid w:val="005B4C2D"/>
    <w:rsid w:val="005C3FAE"/>
    <w:rsid w:val="005D090A"/>
    <w:rsid w:val="005D1D33"/>
    <w:rsid w:val="005D4E3C"/>
    <w:rsid w:val="005E60DE"/>
    <w:rsid w:val="005E6BBA"/>
    <w:rsid w:val="005F61E6"/>
    <w:rsid w:val="00600D62"/>
    <w:rsid w:val="006143B3"/>
    <w:rsid w:val="00621D73"/>
    <w:rsid w:val="0062430E"/>
    <w:rsid w:val="006257A7"/>
    <w:rsid w:val="00633F4F"/>
    <w:rsid w:val="00634E83"/>
    <w:rsid w:val="006358AB"/>
    <w:rsid w:val="006365AB"/>
    <w:rsid w:val="006370A8"/>
    <w:rsid w:val="00641D4A"/>
    <w:rsid w:val="00647081"/>
    <w:rsid w:val="00652AD7"/>
    <w:rsid w:val="00657E4E"/>
    <w:rsid w:val="0066284D"/>
    <w:rsid w:val="00665F79"/>
    <w:rsid w:val="006663E7"/>
    <w:rsid w:val="00667033"/>
    <w:rsid w:val="00670065"/>
    <w:rsid w:val="00671CA4"/>
    <w:rsid w:val="00675049"/>
    <w:rsid w:val="0067642B"/>
    <w:rsid w:val="0069077B"/>
    <w:rsid w:val="00694805"/>
    <w:rsid w:val="00694BA9"/>
    <w:rsid w:val="00697C28"/>
    <w:rsid w:val="006A21A1"/>
    <w:rsid w:val="006B0BFF"/>
    <w:rsid w:val="006B25F2"/>
    <w:rsid w:val="006C018A"/>
    <w:rsid w:val="006C0FA5"/>
    <w:rsid w:val="006C3C8E"/>
    <w:rsid w:val="006C4481"/>
    <w:rsid w:val="006C49B3"/>
    <w:rsid w:val="006D5CBF"/>
    <w:rsid w:val="006D7D92"/>
    <w:rsid w:val="006E40F0"/>
    <w:rsid w:val="006F0071"/>
    <w:rsid w:val="006F1EB3"/>
    <w:rsid w:val="006F48A9"/>
    <w:rsid w:val="006F7D88"/>
    <w:rsid w:val="0070541A"/>
    <w:rsid w:val="00706D4A"/>
    <w:rsid w:val="0071048C"/>
    <w:rsid w:val="00712450"/>
    <w:rsid w:val="0071689A"/>
    <w:rsid w:val="00716BC2"/>
    <w:rsid w:val="00722D79"/>
    <w:rsid w:val="00727E7C"/>
    <w:rsid w:val="00734C5C"/>
    <w:rsid w:val="00734E0D"/>
    <w:rsid w:val="00756637"/>
    <w:rsid w:val="00760B80"/>
    <w:rsid w:val="0076104D"/>
    <w:rsid w:val="00783574"/>
    <w:rsid w:val="00783C9A"/>
    <w:rsid w:val="00790239"/>
    <w:rsid w:val="00792077"/>
    <w:rsid w:val="00797D72"/>
    <w:rsid w:val="007A4CE2"/>
    <w:rsid w:val="007A5794"/>
    <w:rsid w:val="007B2969"/>
    <w:rsid w:val="007C6276"/>
    <w:rsid w:val="007D3A5B"/>
    <w:rsid w:val="007D6DDC"/>
    <w:rsid w:val="007E2F26"/>
    <w:rsid w:val="007E7DBD"/>
    <w:rsid w:val="007F0E84"/>
    <w:rsid w:val="00802473"/>
    <w:rsid w:val="008047C5"/>
    <w:rsid w:val="00804F06"/>
    <w:rsid w:val="008055F5"/>
    <w:rsid w:val="008118A4"/>
    <w:rsid w:val="0081733C"/>
    <w:rsid w:val="0081779C"/>
    <w:rsid w:val="0082256B"/>
    <w:rsid w:val="008249C4"/>
    <w:rsid w:val="00825068"/>
    <w:rsid w:val="00831748"/>
    <w:rsid w:val="0083240F"/>
    <w:rsid w:val="0083362F"/>
    <w:rsid w:val="00833DB9"/>
    <w:rsid w:val="00834D2B"/>
    <w:rsid w:val="00845601"/>
    <w:rsid w:val="0085010A"/>
    <w:rsid w:val="0085096C"/>
    <w:rsid w:val="00850B90"/>
    <w:rsid w:val="008518EF"/>
    <w:rsid w:val="008612D8"/>
    <w:rsid w:val="0086331F"/>
    <w:rsid w:val="0086707A"/>
    <w:rsid w:val="008700F0"/>
    <w:rsid w:val="00871548"/>
    <w:rsid w:val="00874036"/>
    <w:rsid w:val="00881A46"/>
    <w:rsid w:val="0088520D"/>
    <w:rsid w:val="00891D9A"/>
    <w:rsid w:val="00891F0D"/>
    <w:rsid w:val="00897D69"/>
    <w:rsid w:val="008A06C8"/>
    <w:rsid w:val="008A2E21"/>
    <w:rsid w:val="008A6CBB"/>
    <w:rsid w:val="008B02EC"/>
    <w:rsid w:val="008C3F24"/>
    <w:rsid w:val="008C7C78"/>
    <w:rsid w:val="008E0927"/>
    <w:rsid w:val="008E7D08"/>
    <w:rsid w:val="008F03D5"/>
    <w:rsid w:val="008F044C"/>
    <w:rsid w:val="008F4726"/>
    <w:rsid w:val="00901EE8"/>
    <w:rsid w:val="00902F98"/>
    <w:rsid w:val="00905184"/>
    <w:rsid w:val="009064FD"/>
    <w:rsid w:val="00914C0E"/>
    <w:rsid w:val="0091580F"/>
    <w:rsid w:val="00916F2D"/>
    <w:rsid w:val="009230B8"/>
    <w:rsid w:val="0092660B"/>
    <w:rsid w:val="00927E6C"/>
    <w:rsid w:val="00930948"/>
    <w:rsid w:val="00930D21"/>
    <w:rsid w:val="00931582"/>
    <w:rsid w:val="00936DD8"/>
    <w:rsid w:val="009442E7"/>
    <w:rsid w:val="0094537C"/>
    <w:rsid w:val="009514CA"/>
    <w:rsid w:val="00954B20"/>
    <w:rsid w:val="009555A7"/>
    <w:rsid w:val="00957AE9"/>
    <w:rsid w:val="00966DC2"/>
    <w:rsid w:val="0097114F"/>
    <w:rsid w:val="00973C44"/>
    <w:rsid w:val="0098179D"/>
    <w:rsid w:val="0098440E"/>
    <w:rsid w:val="00991211"/>
    <w:rsid w:val="00992DD7"/>
    <w:rsid w:val="00993A57"/>
    <w:rsid w:val="0099545C"/>
    <w:rsid w:val="00997ED6"/>
    <w:rsid w:val="009A0FB1"/>
    <w:rsid w:val="009A167B"/>
    <w:rsid w:val="009B24C4"/>
    <w:rsid w:val="009B4282"/>
    <w:rsid w:val="009B4FD4"/>
    <w:rsid w:val="009B6E61"/>
    <w:rsid w:val="009C1DF3"/>
    <w:rsid w:val="009C227B"/>
    <w:rsid w:val="009D7338"/>
    <w:rsid w:val="009D75F8"/>
    <w:rsid w:val="009D7C8D"/>
    <w:rsid w:val="009E2DBD"/>
    <w:rsid w:val="009E3330"/>
    <w:rsid w:val="009E61A4"/>
    <w:rsid w:val="009E6E61"/>
    <w:rsid w:val="009E6EE7"/>
    <w:rsid w:val="009F0951"/>
    <w:rsid w:val="00A013CA"/>
    <w:rsid w:val="00A025FA"/>
    <w:rsid w:val="00A06735"/>
    <w:rsid w:val="00A074DC"/>
    <w:rsid w:val="00A1083B"/>
    <w:rsid w:val="00A17155"/>
    <w:rsid w:val="00A22A32"/>
    <w:rsid w:val="00A22F24"/>
    <w:rsid w:val="00A26F01"/>
    <w:rsid w:val="00A37A45"/>
    <w:rsid w:val="00A431C3"/>
    <w:rsid w:val="00A43880"/>
    <w:rsid w:val="00A4701A"/>
    <w:rsid w:val="00A47C33"/>
    <w:rsid w:val="00A526BE"/>
    <w:rsid w:val="00A53315"/>
    <w:rsid w:val="00A62EAA"/>
    <w:rsid w:val="00A76627"/>
    <w:rsid w:val="00A7774C"/>
    <w:rsid w:val="00A77EC7"/>
    <w:rsid w:val="00A85B20"/>
    <w:rsid w:val="00A91940"/>
    <w:rsid w:val="00A94016"/>
    <w:rsid w:val="00A9488C"/>
    <w:rsid w:val="00A94B25"/>
    <w:rsid w:val="00A96F71"/>
    <w:rsid w:val="00AA146F"/>
    <w:rsid w:val="00AA49BD"/>
    <w:rsid w:val="00AB44E0"/>
    <w:rsid w:val="00AC071A"/>
    <w:rsid w:val="00AC3B55"/>
    <w:rsid w:val="00AD195E"/>
    <w:rsid w:val="00AD23B5"/>
    <w:rsid w:val="00AD2809"/>
    <w:rsid w:val="00AD2DF2"/>
    <w:rsid w:val="00AD7796"/>
    <w:rsid w:val="00AF2044"/>
    <w:rsid w:val="00AF2904"/>
    <w:rsid w:val="00AF30D8"/>
    <w:rsid w:val="00AF3BCE"/>
    <w:rsid w:val="00B00B93"/>
    <w:rsid w:val="00B0192B"/>
    <w:rsid w:val="00B0359C"/>
    <w:rsid w:val="00B04CFF"/>
    <w:rsid w:val="00B223B3"/>
    <w:rsid w:val="00B25505"/>
    <w:rsid w:val="00B31ECF"/>
    <w:rsid w:val="00B32C94"/>
    <w:rsid w:val="00B37178"/>
    <w:rsid w:val="00B63895"/>
    <w:rsid w:val="00B63E5A"/>
    <w:rsid w:val="00B67143"/>
    <w:rsid w:val="00B71FE0"/>
    <w:rsid w:val="00B72110"/>
    <w:rsid w:val="00B72756"/>
    <w:rsid w:val="00B77131"/>
    <w:rsid w:val="00B86FB2"/>
    <w:rsid w:val="00B9550D"/>
    <w:rsid w:val="00B9619A"/>
    <w:rsid w:val="00BA0C16"/>
    <w:rsid w:val="00BA1584"/>
    <w:rsid w:val="00BA2AD1"/>
    <w:rsid w:val="00BA5066"/>
    <w:rsid w:val="00BA6C8E"/>
    <w:rsid w:val="00BA797E"/>
    <w:rsid w:val="00BB2209"/>
    <w:rsid w:val="00BB4109"/>
    <w:rsid w:val="00BB7021"/>
    <w:rsid w:val="00BD45CE"/>
    <w:rsid w:val="00BE1F11"/>
    <w:rsid w:val="00BF0747"/>
    <w:rsid w:val="00BF0E52"/>
    <w:rsid w:val="00BF41B7"/>
    <w:rsid w:val="00BF59DD"/>
    <w:rsid w:val="00C01105"/>
    <w:rsid w:val="00C04775"/>
    <w:rsid w:val="00C06C75"/>
    <w:rsid w:val="00C12DBC"/>
    <w:rsid w:val="00C14FE2"/>
    <w:rsid w:val="00C165EB"/>
    <w:rsid w:val="00C237F8"/>
    <w:rsid w:val="00C25788"/>
    <w:rsid w:val="00C259AC"/>
    <w:rsid w:val="00C464DC"/>
    <w:rsid w:val="00C46529"/>
    <w:rsid w:val="00C46BE2"/>
    <w:rsid w:val="00C47337"/>
    <w:rsid w:val="00C47CA2"/>
    <w:rsid w:val="00C5001A"/>
    <w:rsid w:val="00C60A50"/>
    <w:rsid w:val="00C678C6"/>
    <w:rsid w:val="00C73CE8"/>
    <w:rsid w:val="00C766B1"/>
    <w:rsid w:val="00C7781E"/>
    <w:rsid w:val="00C829B7"/>
    <w:rsid w:val="00C84E2F"/>
    <w:rsid w:val="00C939BB"/>
    <w:rsid w:val="00C94BE9"/>
    <w:rsid w:val="00C94BFF"/>
    <w:rsid w:val="00C94C26"/>
    <w:rsid w:val="00CA40B0"/>
    <w:rsid w:val="00CA5713"/>
    <w:rsid w:val="00CA64D1"/>
    <w:rsid w:val="00CB1525"/>
    <w:rsid w:val="00CC104A"/>
    <w:rsid w:val="00CD27C9"/>
    <w:rsid w:val="00CD5D76"/>
    <w:rsid w:val="00CD7FC2"/>
    <w:rsid w:val="00CE2C54"/>
    <w:rsid w:val="00CE44DF"/>
    <w:rsid w:val="00CF3840"/>
    <w:rsid w:val="00D05008"/>
    <w:rsid w:val="00D07D9E"/>
    <w:rsid w:val="00D37753"/>
    <w:rsid w:val="00D44457"/>
    <w:rsid w:val="00D530B8"/>
    <w:rsid w:val="00D551F5"/>
    <w:rsid w:val="00D55CF8"/>
    <w:rsid w:val="00D5776D"/>
    <w:rsid w:val="00D61374"/>
    <w:rsid w:val="00D62EAD"/>
    <w:rsid w:val="00D654E3"/>
    <w:rsid w:val="00D6572D"/>
    <w:rsid w:val="00D6629E"/>
    <w:rsid w:val="00D66E84"/>
    <w:rsid w:val="00D726ED"/>
    <w:rsid w:val="00D76632"/>
    <w:rsid w:val="00D7682B"/>
    <w:rsid w:val="00D77E5B"/>
    <w:rsid w:val="00D81808"/>
    <w:rsid w:val="00D82885"/>
    <w:rsid w:val="00D83650"/>
    <w:rsid w:val="00D850EA"/>
    <w:rsid w:val="00D916A2"/>
    <w:rsid w:val="00DA0FC2"/>
    <w:rsid w:val="00DA103A"/>
    <w:rsid w:val="00DA1A7E"/>
    <w:rsid w:val="00DA38E5"/>
    <w:rsid w:val="00DB2C8C"/>
    <w:rsid w:val="00DC526E"/>
    <w:rsid w:val="00DD01B6"/>
    <w:rsid w:val="00DD0CA1"/>
    <w:rsid w:val="00DD4F7C"/>
    <w:rsid w:val="00DD6AC0"/>
    <w:rsid w:val="00DE0846"/>
    <w:rsid w:val="00DE190A"/>
    <w:rsid w:val="00DE23B4"/>
    <w:rsid w:val="00DE2423"/>
    <w:rsid w:val="00DE50E8"/>
    <w:rsid w:val="00DE6470"/>
    <w:rsid w:val="00DF2F71"/>
    <w:rsid w:val="00E0225B"/>
    <w:rsid w:val="00E13B47"/>
    <w:rsid w:val="00E16DA1"/>
    <w:rsid w:val="00E2238F"/>
    <w:rsid w:val="00E31259"/>
    <w:rsid w:val="00E56F58"/>
    <w:rsid w:val="00E5798F"/>
    <w:rsid w:val="00E63199"/>
    <w:rsid w:val="00E633CA"/>
    <w:rsid w:val="00E66254"/>
    <w:rsid w:val="00E709B6"/>
    <w:rsid w:val="00E74D58"/>
    <w:rsid w:val="00E74FF9"/>
    <w:rsid w:val="00E76C47"/>
    <w:rsid w:val="00E77CE8"/>
    <w:rsid w:val="00E814C3"/>
    <w:rsid w:val="00E87577"/>
    <w:rsid w:val="00E906B2"/>
    <w:rsid w:val="00E90EE3"/>
    <w:rsid w:val="00E94A02"/>
    <w:rsid w:val="00EA2B75"/>
    <w:rsid w:val="00EA4E00"/>
    <w:rsid w:val="00EA64DA"/>
    <w:rsid w:val="00EA768F"/>
    <w:rsid w:val="00EB24E9"/>
    <w:rsid w:val="00EB2B86"/>
    <w:rsid w:val="00EB2C69"/>
    <w:rsid w:val="00EB6E4C"/>
    <w:rsid w:val="00EC3D5B"/>
    <w:rsid w:val="00EE2CB5"/>
    <w:rsid w:val="00EE2F08"/>
    <w:rsid w:val="00EE3613"/>
    <w:rsid w:val="00EE6483"/>
    <w:rsid w:val="00EF1832"/>
    <w:rsid w:val="00EF1F25"/>
    <w:rsid w:val="00EF655C"/>
    <w:rsid w:val="00EF7278"/>
    <w:rsid w:val="00EF7A02"/>
    <w:rsid w:val="00F00BA9"/>
    <w:rsid w:val="00F0742F"/>
    <w:rsid w:val="00F159D4"/>
    <w:rsid w:val="00F168BC"/>
    <w:rsid w:val="00F17392"/>
    <w:rsid w:val="00F23DFD"/>
    <w:rsid w:val="00F30726"/>
    <w:rsid w:val="00F405A4"/>
    <w:rsid w:val="00F42B23"/>
    <w:rsid w:val="00F42C73"/>
    <w:rsid w:val="00F440F7"/>
    <w:rsid w:val="00F4638F"/>
    <w:rsid w:val="00F4674B"/>
    <w:rsid w:val="00F47BD7"/>
    <w:rsid w:val="00F47CDA"/>
    <w:rsid w:val="00F503D0"/>
    <w:rsid w:val="00F50499"/>
    <w:rsid w:val="00F53651"/>
    <w:rsid w:val="00F54C88"/>
    <w:rsid w:val="00F5730F"/>
    <w:rsid w:val="00F62543"/>
    <w:rsid w:val="00F74E29"/>
    <w:rsid w:val="00F76FAA"/>
    <w:rsid w:val="00F803DE"/>
    <w:rsid w:val="00F867B7"/>
    <w:rsid w:val="00F871CB"/>
    <w:rsid w:val="00F87903"/>
    <w:rsid w:val="00F93E05"/>
    <w:rsid w:val="00F94B1D"/>
    <w:rsid w:val="00F9554D"/>
    <w:rsid w:val="00F97D82"/>
    <w:rsid w:val="00FA0F4B"/>
    <w:rsid w:val="00FA2D44"/>
    <w:rsid w:val="00FA59A0"/>
    <w:rsid w:val="00FB0D44"/>
    <w:rsid w:val="00FB1818"/>
    <w:rsid w:val="00FB2D72"/>
    <w:rsid w:val="00FB3160"/>
    <w:rsid w:val="00FC16C8"/>
    <w:rsid w:val="00FC2A1C"/>
    <w:rsid w:val="00FC5222"/>
    <w:rsid w:val="00FD5E8E"/>
    <w:rsid w:val="00FE086D"/>
    <w:rsid w:val="00FE3143"/>
    <w:rsid w:val="00FE705D"/>
    <w:rsid w:val="00FF1DE5"/>
    <w:rsid w:val="00FF48F5"/>
    <w:rsid w:val="00FF6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808"/>
  </w:style>
  <w:style w:type="paragraph" w:styleId="Heading1">
    <w:name w:val="heading 1"/>
    <w:basedOn w:val="Normal"/>
    <w:next w:val="Normal"/>
    <w:link w:val="Heading1Char"/>
    <w:uiPriority w:val="9"/>
    <w:qFormat/>
    <w:rsid w:val="00502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6DDC"/>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729"/>
    <w:rPr>
      <w:color w:val="808080"/>
    </w:rPr>
  </w:style>
  <w:style w:type="paragraph" w:styleId="BalloonText">
    <w:name w:val="Balloon Text"/>
    <w:basedOn w:val="Normal"/>
    <w:link w:val="BalloonTextChar"/>
    <w:uiPriority w:val="99"/>
    <w:semiHidden/>
    <w:unhideWhenUsed/>
    <w:rsid w:val="005B0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729"/>
    <w:rPr>
      <w:rFonts w:ascii="Tahoma" w:hAnsi="Tahoma" w:cs="Tahoma"/>
      <w:sz w:val="16"/>
      <w:szCs w:val="16"/>
    </w:rPr>
  </w:style>
  <w:style w:type="character" w:styleId="SubtleEmphasis">
    <w:name w:val="Subtle Emphasis"/>
    <w:basedOn w:val="DefaultParagraphFont"/>
    <w:uiPriority w:val="19"/>
    <w:qFormat/>
    <w:rsid w:val="00BB4109"/>
    <w:rPr>
      <w:i/>
      <w:iCs/>
      <w:color w:val="808080" w:themeColor="text1" w:themeTint="7F"/>
    </w:rPr>
  </w:style>
  <w:style w:type="paragraph" w:styleId="ListParagraph">
    <w:name w:val="List Paragraph"/>
    <w:basedOn w:val="Normal"/>
    <w:uiPriority w:val="34"/>
    <w:qFormat/>
    <w:rsid w:val="00930D21"/>
    <w:pPr>
      <w:ind w:left="720"/>
      <w:contextualSpacing/>
    </w:pPr>
  </w:style>
  <w:style w:type="table" w:styleId="MediumGrid1-Accent3">
    <w:name w:val="Medium Grid 1 Accent 3"/>
    <w:basedOn w:val="TableNormal"/>
    <w:uiPriority w:val="67"/>
    <w:rsid w:val="00F93E0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F97D8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1-Accent3">
    <w:name w:val="Medium List 1 Accent 3"/>
    <w:basedOn w:val="TableNormal"/>
    <w:uiPriority w:val="65"/>
    <w:rsid w:val="00F97D82"/>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TableGrid">
    <w:name w:val="Table Grid"/>
    <w:basedOn w:val="TableNormal"/>
    <w:uiPriority w:val="59"/>
    <w:rsid w:val="00C67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4">
    <w:name w:val="Colorful List Accent 4"/>
    <w:basedOn w:val="TableNormal"/>
    <w:uiPriority w:val="72"/>
    <w:rsid w:val="00AA146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Shading2-Accent3">
    <w:name w:val="Medium Shading 2 Accent 3"/>
    <w:basedOn w:val="TableNormal"/>
    <w:uiPriority w:val="64"/>
    <w:rsid w:val="00927E6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style-span">
    <w:name w:val="apple-style-span"/>
    <w:basedOn w:val="DefaultParagraphFont"/>
    <w:rsid w:val="00C84E2F"/>
  </w:style>
  <w:style w:type="character" w:customStyle="1" w:styleId="Bodytext">
    <w:name w:val="Body text_"/>
    <w:basedOn w:val="DefaultParagraphFont"/>
    <w:link w:val="Bodytext1"/>
    <w:uiPriority w:val="99"/>
    <w:rsid w:val="0044795E"/>
    <w:rPr>
      <w:rFonts w:ascii="Angsana New" w:hAnsi="Angsana New" w:cs="Angsana New"/>
      <w:sz w:val="34"/>
      <w:szCs w:val="34"/>
      <w:shd w:val="clear" w:color="auto" w:fill="FFFFFF"/>
    </w:rPr>
  </w:style>
  <w:style w:type="paragraph" w:customStyle="1" w:styleId="Bodytext1">
    <w:name w:val="Body text1"/>
    <w:basedOn w:val="Normal"/>
    <w:link w:val="Bodytext"/>
    <w:uiPriority w:val="99"/>
    <w:rsid w:val="0044795E"/>
    <w:pPr>
      <w:shd w:val="clear" w:color="auto" w:fill="FFFFFF"/>
      <w:spacing w:after="300" w:line="595" w:lineRule="exact"/>
      <w:ind w:hanging="360"/>
      <w:jc w:val="both"/>
    </w:pPr>
    <w:rPr>
      <w:rFonts w:ascii="Angsana New" w:hAnsi="Angsana New" w:cs="Angsana New"/>
      <w:sz w:val="34"/>
      <w:szCs w:val="34"/>
    </w:rPr>
  </w:style>
  <w:style w:type="paragraph" w:styleId="Header">
    <w:name w:val="header"/>
    <w:basedOn w:val="Normal"/>
    <w:link w:val="HeaderChar"/>
    <w:uiPriority w:val="99"/>
    <w:semiHidden/>
    <w:unhideWhenUsed/>
    <w:rsid w:val="00EB2C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2C69"/>
  </w:style>
  <w:style w:type="paragraph" w:styleId="Footer">
    <w:name w:val="footer"/>
    <w:basedOn w:val="Normal"/>
    <w:link w:val="FooterChar"/>
    <w:uiPriority w:val="99"/>
    <w:semiHidden/>
    <w:unhideWhenUsed/>
    <w:rsid w:val="00EB2C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2C69"/>
  </w:style>
  <w:style w:type="paragraph" w:customStyle="1" w:styleId="DecimalAligned">
    <w:name w:val="Decimal Aligned"/>
    <w:basedOn w:val="Normal"/>
    <w:uiPriority w:val="40"/>
    <w:qFormat/>
    <w:rsid w:val="00F159D4"/>
    <w:pPr>
      <w:tabs>
        <w:tab w:val="decimal" w:pos="360"/>
      </w:tabs>
    </w:pPr>
    <w:rPr>
      <w:rFonts w:eastAsiaTheme="minorEastAsia"/>
    </w:rPr>
  </w:style>
  <w:style w:type="paragraph" w:styleId="FootnoteText">
    <w:name w:val="footnote text"/>
    <w:basedOn w:val="Normal"/>
    <w:link w:val="FootnoteTextChar"/>
    <w:uiPriority w:val="99"/>
    <w:unhideWhenUsed/>
    <w:rsid w:val="00F159D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F159D4"/>
    <w:rPr>
      <w:rFonts w:eastAsiaTheme="minorEastAsia"/>
      <w:sz w:val="20"/>
      <w:szCs w:val="20"/>
    </w:rPr>
  </w:style>
  <w:style w:type="table" w:styleId="MediumShading2-Accent5">
    <w:name w:val="Medium Shading 2 Accent 5"/>
    <w:basedOn w:val="TableNormal"/>
    <w:uiPriority w:val="64"/>
    <w:rsid w:val="00F159D4"/>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DefaultParagraphFont"/>
    <w:rsid w:val="00B67143"/>
  </w:style>
  <w:style w:type="character" w:customStyle="1" w:styleId="ref-journal">
    <w:name w:val="ref-journal"/>
    <w:basedOn w:val="DefaultParagraphFont"/>
    <w:rsid w:val="00B67143"/>
  </w:style>
  <w:style w:type="character" w:customStyle="1" w:styleId="ref-vol">
    <w:name w:val="ref-vol"/>
    <w:basedOn w:val="DefaultParagraphFont"/>
    <w:rsid w:val="00B67143"/>
  </w:style>
  <w:style w:type="character" w:styleId="Hyperlink">
    <w:name w:val="Hyperlink"/>
    <w:basedOn w:val="DefaultParagraphFont"/>
    <w:uiPriority w:val="99"/>
    <w:unhideWhenUsed/>
    <w:rsid w:val="00CC104A"/>
    <w:rPr>
      <w:color w:val="0000FF"/>
      <w:u w:val="single"/>
    </w:rPr>
  </w:style>
  <w:style w:type="character" w:styleId="Emphasis">
    <w:name w:val="Emphasis"/>
    <w:basedOn w:val="DefaultParagraphFont"/>
    <w:uiPriority w:val="20"/>
    <w:qFormat/>
    <w:rsid w:val="009A0FB1"/>
    <w:rPr>
      <w:i/>
      <w:iCs/>
    </w:rPr>
  </w:style>
  <w:style w:type="character" w:customStyle="1" w:styleId="Heading2Char">
    <w:name w:val="Heading 2 Char"/>
    <w:basedOn w:val="DefaultParagraphFont"/>
    <w:link w:val="Heading2"/>
    <w:uiPriority w:val="9"/>
    <w:semiHidden/>
    <w:rsid w:val="007D6DDC"/>
    <w:rPr>
      <w:rFonts w:ascii="Cambria" w:eastAsia="Times New Roman" w:hAnsi="Cambria" w:cs="Times New Roman"/>
      <w:b/>
      <w:bCs/>
      <w:color w:val="4F81BD"/>
      <w:sz w:val="26"/>
      <w:szCs w:val="26"/>
    </w:rPr>
  </w:style>
  <w:style w:type="character" w:customStyle="1" w:styleId="jrnl">
    <w:name w:val="jrnl"/>
    <w:basedOn w:val="DefaultParagraphFont"/>
    <w:rsid w:val="0070541A"/>
  </w:style>
  <w:style w:type="character" w:customStyle="1" w:styleId="BodytextSpacing1pt">
    <w:name w:val="Body text + Spacing 1 pt"/>
    <w:basedOn w:val="DefaultParagraphFont"/>
    <w:rsid w:val="004502FA"/>
    <w:rPr>
      <w:rFonts w:ascii="Times New Roman" w:eastAsia="Times New Roman" w:hAnsi="Times New Roman" w:cs="Times New Roman"/>
      <w:b w:val="0"/>
      <w:bCs w:val="0"/>
      <w:i w:val="0"/>
      <w:iCs w:val="0"/>
      <w:smallCaps w:val="0"/>
      <w:strike w:val="0"/>
      <w:spacing w:val="20"/>
      <w:sz w:val="17"/>
      <w:szCs w:val="17"/>
    </w:rPr>
  </w:style>
  <w:style w:type="character" w:customStyle="1" w:styleId="Bodytext0">
    <w:name w:val="Body text"/>
    <w:basedOn w:val="DefaultParagraphFont"/>
    <w:rsid w:val="00C60A50"/>
    <w:rPr>
      <w:rFonts w:ascii="Book Antiqua" w:eastAsia="Book Antiqua" w:hAnsi="Book Antiqua" w:cs="Book Antiqua"/>
      <w:b w:val="0"/>
      <w:bCs w:val="0"/>
      <w:i w:val="0"/>
      <w:iCs w:val="0"/>
      <w:smallCaps w:val="0"/>
      <w:strike w:val="0"/>
      <w:sz w:val="19"/>
      <w:szCs w:val="19"/>
    </w:rPr>
  </w:style>
  <w:style w:type="character" w:customStyle="1" w:styleId="Bodytext11">
    <w:name w:val="Body text (11)"/>
    <w:basedOn w:val="DefaultParagraphFont"/>
    <w:rsid w:val="00850B90"/>
    <w:rPr>
      <w:rFonts w:ascii="Franklin Gothic Medium Cond" w:eastAsia="Franklin Gothic Medium Cond" w:hAnsi="Franklin Gothic Medium Cond" w:cs="Franklin Gothic Medium Cond"/>
      <w:b w:val="0"/>
      <w:bCs w:val="0"/>
      <w:i w:val="0"/>
      <w:iCs w:val="0"/>
      <w:smallCaps w:val="0"/>
      <w:strike w:val="0"/>
      <w:spacing w:val="0"/>
      <w:sz w:val="17"/>
      <w:szCs w:val="17"/>
    </w:rPr>
  </w:style>
  <w:style w:type="paragraph" w:styleId="BodyTextIndent">
    <w:name w:val="Body Text Indent"/>
    <w:basedOn w:val="Normal"/>
    <w:link w:val="BodyTextIndentChar"/>
    <w:uiPriority w:val="99"/>
    <w:unhideWhenUsed/>
    <w:rsid w:val="00A43880"/>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43880"/>
    <w:rPr>
      <w:rFonts w:ascii="Times New Roman" w:eastAsia="Times New Roman" w:hAnsi="Times New Roman" w:cs="Times New Roman"/>
      <w:sz w:val="24"/>
      <w:szCs w:val="24"/>
    </w:rPr>
  </w:style>
  <w:style w:type="character" w:customStyle="1" w:styleId="Bodytext4">
    <w:name w:val="Body text (4)"/>
    <w:basedOn w:val="DefaultParagraphFont"/>
    <w:rsid w:val="00A43880"/>
    <w:rPr>
      <w:rFonts w:ascii="Calibri" w:eastAsia="Calibri" w:hAnsi="Calibri" w:cs="Calibri"/>
      <w:b w:val="0"/>
      <w:bCs w:val="0"/>
      <w:i w:val="0"/>
      <w:iCs w:val="0"/>
      <w:smallCaps w:val="0"/>
      <w:strike w:val="0"/>
      <w:spacing w:val="0"/>
      <w:sz w:val="21"/>
      <w:szCs w:val="21"/>
    </w:rPr>
  </w:style>
  <w:style w:type="character" w:customStyle="1" w:styleId="Bodytext3">
    <w:name w:val="Body text (3)"/>
    <w:basedOn w:val="DefaultParagraphFont"/>
    <w:rsid w:val="00132481"/>
    <w:rPr>
      <w:rFonts w:ascii="Palatino Linotype" w:eastAsia="Palatino Linotype" w:hAnsi="Palatino Linotype" w:cs="Palatino Linotype"/>
      <w:b w:val="0"/>
      <w:bCs w:val="0"/>
      <w:i w:val="0"/>
      <w:iCs w:val="0"/>
      <w:smallCaps w:val="0"/>
      <w:strike w:val="0"/>
      <w:spacing w:val="0"/>
      <w:sz w:val="21"/>
      <w:szCs w:val="21"/>
    </w:rPr>
  </w:style>
  <w:style w:type="character" w:customStyle="1" w:styleId="Bodytext14">
    <w:name w:val="Body text (14)_"/>
    <w:basedOn w:val="DefaultParagraphFont"/>
    <w:link w:val="Bodytext140"/>
    <w:rsid w:val="00132481"/>
    <w:rPr>
      <w:rFonts w:ascii="Angsana New" w:eastAsia="Angsana New" w:hAnsi="Angsana New" w:cs="Angsana New"/>
      <w:spacing w:val="-10"/>
      <w:sz w:val="26"/>
      <w:szCs w:val="26"/>
      <w:shd w:val="clear" w:color="auto" w:fill="FFFFFF"/>
    </w:rPr>
  </w:style>
  <w:style w:type="character" w:customStyle="1" w:styleId="Bodytext14NotItalic">
    <w:name w:val="Body text (14) + Not Italic"/>
    <w:aliases w:val="Spacing 0 pt,Scaling 90%"/>
    <w:basedOn w:val="Bodytext14"/>
    <w:rsid w:val="00132481"/>
    <w:rPr>
      <w:i/>
      <w:iCs/>
      <w:spacing w:val="0"/>
      <w:w w:val="90"/>
    </w:rPr>
  </w:style>
  <w:style w:type="paragraph" w:customStyle="1" w:styleId="Bodytext140">
    <w:name w:val="Body text (14)"/>
    <w:basedOn w:val="Normal"/>
    <w:link w:val="Bodytext14"/>
    <w:rsid w:val="00132481"/>
    <w:pPr>
      <w:shd w:val="clear" w:color="auto" w:fill="FFFFFF"/>
      <w:spacing w:after="0" w:line="86" w:lineRule="exact"/>
      <w:ind w:hanging="220"/>
      <w:jc w:val="both"/>
    </w:pPr>
    <w:rPr>
      <w:rFonts w:ascii="Angsana New" w:eastAsia="Angsana New" w:hAnsi="Angsana New" w:cs="Angsana New"/>
      <w:spacing w:val="-10"/>
      <w:sz w:val="26"/>
      <w:szCs w:val="26"/>
    </w:rPr>
  </w:style>
  <w:style w:type="character" w:customStyle="1" w:styleId="Bodytext9">
    <w:name w:val="Body text (9)"/>
    <w:basedOn w:val="DefaultParagraphFont"/>
    <w:rsid w:val="00132481"/>
    <w:rPr>
      <w:rFonts w:ascii="Palatino Linotype" w:eastAsia="Palatino Linotype" w:hAnsi="Palatino Linotype" w:cs="Palatino Linotype"/>
      <w:b w:val="0"/>
      <w:bCs w:val="0"/>
      <w:i w:val="0"/>
      <w:iCs w:val="0"/>
      <w:smallCaps w:val="0"/>
      <w:strike w:val="0"/>
      <w:spacing w:val="0"/>
      <w:sz w:val="14"/>
      <w:szCs w:val="14"/>
    </w:rPr>
  </w:style>
  <w:style w:type="character" w:customStyle="1" w:styleId="Bodytext3Italic">
    <w:name w:val="Body text (3) + Italic"/>
    <w:basedOn w:val="DefaultParagraphFont"/>
    <w:rsid w:val="00132481"/>
    <w:rPr>
      <w:rFonts w:ascii="Segoe UI" w:eastAsia="Segoe UI" w:hAnsi="Segoe UI" w:cs="Segoe UI"/>
      <w:b w:val="0"/>
      <w:bCs w:val="0"/>
      <w:i/>
      <w:iCs/>
      <w:smallCaps w:val="0"/>
      <w:strike w:val="0"/>
      <w:spacing w:val="0"/>
      <w:sz w:val="16"/>
      <w:szCs w:val="16"/>
    </w:rPr>
  </w:style>
  <w:style w:type="character" w:customStyle="1" w:styleId="Bodytext3Bold">
    <w:name w:val="Body text (3) + Bold"/>
    <w:basedOn w:val="DefaultParagraphFont"/>
    <w:rsid w:val="00132481"/>
    <w:rPr>
      <w:rFonts w:ascii="Segoe UI" w:eastAsia="Segoe UI" w:hAnsi="Segoe UI" w:cs="Segoe UI"/>
      <w:b/>
      <w:bCs/>
      <w:i w:val="0"/>
      <w:iCs w:val="0"/>
      <w:smallCaps w:val="0"/>
      <w:strike w:val="0"/>
      <w:spacing w:val="0"/>
      <w:sz w:val="16"/>
      <w:szCs w:val="16"/>
    </w:rPr>
  </w:style>
  <w:style w:type="character" w:customStyle="1" w:styleId="Bodytext5Italic1">
    <w:name w:val="Body text (5) + Italic1"/>
    <w:basedOn w:val="DefaultParagraphFont"/>
    <w:uiPriority w:val="99"/>
    <w:rsid w:val="00132481"/>
    <w:rPr>
      <w:rFonts w:ascii="Angsana New" w:hAnsi="Angsana New" w:cs="Angsana New"/>
      <w:i/>
      <w:iCs/>
      <w:sz w:val="27"/>
      <w:szCs w:val="27"/>
      <w:shd w:val="clear" w:color="auto" w:fill="FFFFFF"/>
    </w:rPr>
  </w:style>
  <w:style w:type="character" w:customStyle="1" w:styleId="Bodytext5145pt1">
    <w:name w:val="Body text (5) + 14.5 pt1"/>
    <w:aliases w:val="Bold1"/>
    <w:basedOn w:val="DefaultParagraphFont"/>
    <w:uiPriority w:val="99"/>
    <w:rsid w:val="00132481"/>
    <w:rPr>
      <w:rFonts w:ascii="Angsana New" w:hAnsi="Angsana New" w:cs="Angsana New"/>
      <w:b/>
      <w:bCs/>
      <w:sz w:val="29"/>
      <w:szCs w:val="29"/>
      <w:shd w:val="clear" w:color="auto" w:fill="FFFFFF"/>
    </w:rPr>
  </w:style>
  <w:style w:type="character" w:customStyle="1" w:styleId="Heading1Char">
    <w:name w:val="Heading 1 Char"/>
    <w:basedOn w:val="DefaultParagraphFont"/>
    <w:link w:val="Heading1"/>
    <w:uiPriority w:val="9"/>
    <w:rsid w:val="00502858"/>
    <w:rPr>
      <w:rFonts w:asciiTheme="majorHAnsi" w:eastAsiaTheme="majorEastAsia" w:hAnsiTheme="majorHAnsi" w:cstheme="majorBidi"/>
      <w:b/>
      <w:bCs/>
      <w:color w:val="365F91" w:themeColor="accent1" w:themeShade="BF"/>
      <w:sz w:val="28"/>
      <w:szCs w:val="28"/>
    </w:rPr>
  </w:style>
  <w:style w:type="character" w:customStyle="1" w:styleId="cit">
    <w:name w:val="cit"/>
    <w:basedOn w:val="DefaultParagraphFont"/>
    <w:rsid w:val="00502858"/>
  </w:style>
  <w:style w:type="character" w:customStyle="1" w:styleId="fm-vol-iss-date">
    <w:name w:val="fm-vol-iss-date"/>
    <w:basedOn w:val="DefaultParagraphFont"/>
    <w:rsid w:val="00502858"/>
  </w:style>
  <w:style w:type="character" w:customStyle="1" w:styleId="doi">
    <w:name w:val="doi"/>
    <w:basedOn w:val="DefaultParagraphFont"/>
    <w:rsid w:val="00502858"/>
  </w:style>
  <w:style w:type="character" w:customStyle="1" w:styleId="fm-citation-ids-label">
    <w:name w:val="fm-citation-ids-label"/>
    <w:basedOn w:val="DefaultParagraphFont"/>
    <w:rsid w:val="00502858"/>
  </w:style>
</w:styles>
</file>

<file path=word/webSettings.xml><?xml version="1.0" encoding="utf-8"?>
<w:webSettings xmlns:r="http://schemas.openxmlformats.org/officeDocument/2006/relationships" xmlns:w="http://schemas.openxmlformats.org/wordprocessingml/2006/main">
  <w:divs>
    <w:div w:id="1376196437">
      <w:bodyDiv w:val="1"/>
      <w:marLeft w:val="0"/>
      <w:marRight w:val="0"/>
      <w:marTop w:val="0"/>
      <w:marBottom w:val="0"/>
      <w:divBdr>
        <w:top w:val="none" w:sz="0" w:space="0" w:color="auto"/>
        <w:left w:val="none" w:sz="0" w:space="0" w:color="auto"/>
        <w:bottom w:val="none" w:sz="0" w:space="0" w:color="auto"/>
        <w:right w:val="none" w:sz="0" w:space="0" w:color="auto"/>
      </w:divBdr>
      <w:divsChild>
        <w:div w:id="1709524200">
          <w:marLeft w:val="0"/>
          <w:marRight w:val="0"/>
          <w:marTop w:val="0"/>
          <w:marBottom w:val="166"/>
          <w:divBdr>
            <w:top w:val="none" w:sz="0" w:space="0" w:color="auto"/>
            <w:left w:val="none" w:sz="0" w:space="0" w:color="auto"/>
            <w:bottom w:val="none" w:sz="0" w:space="0" w:color="auto"/>
            <w:right w:val="none" w:sz="0" w:space="0" w:color="auto"/>
          </w:divBdr>
          <w:divsChild>
            <w:div w:id="953682036">
              <w:marLeft w:val="0"/>
              <w:marRight w:val="0"/>
              <w:marTop w:val="0"/>
              <w:marBottom w:val="0"/>
              <w:divBdr>
                <w:top w:val="none" w:sz="0" w:space="0" w:color="auto"/>
                <w:left w:val="none" w:sz="0" w:space="0" w:color="auto"/>
                <w:bottom w:val="none" w:sz="0" w:space="0" w:color="auto"/>
                <w:right w:val="none" w:sz="0" w:space="0" w:color="auto"/>
              </w:divBdr>
              <w:divsChild>
                <w:div w:id="1967737239">
                  <w:marLeft w:val="0"/>
                  <w:marRight w:val="0"/>
                  <w:marTop w:val="0"/>
                  <w:marBottom w:val="0"/>
                  <w:divBdr>
                    <w:top w:val="none" w:sz="0" w:space="0" w:color="auto"/>
                    <w:left w:val="none" w:sz="0" w:space="0" w:color="auto"/>
                    <w:bottom w:val="none" w:sz="0" w:space="0" w:color="auto"/>
                    <w:right w:val="none" w:sz="0" w:space="0" w:color="auto"/>
                  </w:divBdr>
                  <w:divsChild>
                    <w:div w:id="825364467">
                      <w:marLeft w:val="0"/>
                      <w:marRight w:val="0"/>
                      <w:marTop w:val="0"/>
                      <w:marBottom w:val="0"/>
                      <w:divBdr>
                        <w:top w:val="none" w:sz="0" w:space="0" w:color="auto"/>
                        <w:left w:val="none" w:sz="0" w:space="0" w:color="auto"/>
                        <w:bottom w:val="none" w:sz="0" w:space="0" w:color="auto"/>
                        <w:right w:val="none" w:sz="0" w:space="0" w:color="auto"/>
                      </w:divBdr>
                      <w:divsChild>
                        <w:div w:id="1358847219">
                          <w:marLeft w:val="0"/>
                          <w:marRight w:val="0"/>
                          <w:marTop w:val="0"/>
                          <w:marBottom w:val="0"/>
                          <w:divBdr>
                            <w:top w:val="none" w:sz="0" w:space="0" w:color="auto"/>
                            <w:left w:val="none" w:sz="0" w:space="0" w:color="auto"/>
                            <w:bottom w:val="none" w:sz="0" w:space="0" w:color="auto"/>
                            <w:right w:val="none" w:sz="0" w:space="0" w:color="auto"/>
                          </w:divBdr>
                        </w:div>
                        <w:div w:id="2145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6187">
                  <w:marLeft w:val="0"/>
                  <w:marRight w:val="0"/>
                  <w:marTop w:val="0"/>
                  <w:marBottom w:val="0"/>
                  <w:divBdr>
                    <w:top w:val="none" w:sz="0" w:space="0" w:color="auto"/>
                    <w:left w:val="none" w:sz="0" w:space="0" w:color="auto"/>
                    <w:bottom w:val="none" w:sz="0" w:space="0" w:color="auto"/>
                    <w:right w:val="none" w:sz="0" w:space="0" w:color="auto"/>
                  </w:divBdr>
                  <w:divsChild>
                    <w:div w:id="10360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3903">
          <w:marLeft w:val="0"/>
          <w:marRight w:val="0"/>
          <w:marTop w:val="166"/>
          <w:marBottom w:val="166"/>
          <w:divBdr>
            <w:top w:val="none" w:sz="0" w:space="0" w:color="auto"/>
            <w:left w:val="none" w:sz="0" w:space="0" w:color="auto"/>
            <w:bottom w:val="none" w:sz="0" w:space="0" w:color="auto"/>
            <w:right w:val="none" w:sz="0" w:space="0" w:color="auto"/>
          </w:divBdr>
          <w:divsChild>
            <w:div w:id="5811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merican_Society_of_Anesthesiologists"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Wolancho%20W%5BAuthor%5D&amp;cauthor=true&amp;cauthor_uid=25189274"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Belachew%20T%5BAuthor%5D&amp;cauthor=true&amp;cauthor_uid=25189274"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ncbi.nlm.nih.gov/pubmed/?term=Nigussie%20S%5BAuthor%5D&amp;cauthor=true&amp;cauthor_uid=251892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American_Society_of_Anesthesiologists"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tx>
            <c:strRef>
              <c:f>Sheet1!$B$1</c:f>
              <c:strCache>
                <c:ptCount val="1"/>
                <c:pt idx="0">
                  <c:v>Propofol Dose</c:v>
                </c:pt>
              </c:strCache>
            </c:strRef>
          </c:tx>
          <c:spPr>
            <a:ln w="28575">
              <a:noFill/>
            </a:ln>
          </c:spPr>
          <c:trendline>
            <c:trendlineType val="linear"/>
            <c:forward val="2"/>
          </c:trendline>
          <c:xVal>
            <c:numRef>
              <c:f>Sheet1!$A$2:$A$44</c:f>
              <c:numCache>
                <c:formatCode>General</c:formatCode>
                <c:ptCount val="43"/>
                <c:pt idx="0">
                  <c:v>43</c:v>
                </c:pt>
                <c:pt idx="1">
                  <c:v>44</c:v>
                </c:pt>
                <c:pt idx="2">
                  <c:v>49</c:v>
                </c:pt>
                <c:pt idx="3">
                  <c:v>36</c:v>
                </c:pt>
                <c:pt idx="4">
                  <c:v>38</c:v>
                </c:pt>
                <c:pt idx="5">
                  <c:v>37</c:v>
                </c:pt>
                <c:pt idx="6">
                  <c:v>31</c:v>
                </c:pt>
                <c:pt idx="7">
                  <c:v>36</c:v>
                </c:pt>
                <c:pt idx="8">
                  <c:v>36</c:v>
                </c:pt>
                <c:pt idx="9">
                  <c:v>46</c:v>
                </c:pt>
                <c:pt idx="10">
                  <c:v>46</c:v>
                </c:pt>
                <c:pt idx="11">
                  <c:v>46</c:v>
                </c:pt>
                <c:pt idx="12">
                  <c:v>38</c:v>
                </c:pt>
                <c:pt idx="13">
                  <c:v>37</c:v>
                </c:pt>
                <c:pt idx="14">
                  <c:v>40</c:v>
                </c:pt>
                <c:pt idx="15">
                  <c:v>33</c:v>
                </c:pt>
                <c:pt idx="16">
                  <c:v>34</c:v>
                </c:pt>
                <c:pt idx="17">
                  <c:v>37</c:v>
                </c:pt>
                <c:pt idx="18">
                  <c:v>37</c:v>
                </c:pt>
                <c:pt idx="19">
                  <c:v>40</c:v>
                </c:pt>
                <c:pt idx="20">
                  <c:v>35</c:v>
                </c:pt>
                <c:pt idx="21">
                  <c:v>38</c:v>
                </c:pt>
                <c:pt idx="22">
                  <c:v>33</c:v>
                </c:pt>
                <c:pt idx="23">
                  <c:v>31</c:v>
                </c:pt>
                <c:pt idx="24">
                  <c:v>36</c:v>
                </c:pt>
                <c:pt idx="25">
                  <c:v>36</c:v>
                </c:pt>
                <c:pt idx="26">
                  <c:v>34</c:v>
                </c:pt>
                <c:pt idx="27">
                  <c:v>34</c:v>
                </c:pt>
                <c:pt idx="28">
                  <c:v>36</c:v>
                </c:pt>
                <c:pt idx="29">
                  <c:v>42</c:v>
                </c:pt>
                <c:pt idx="30">
                  <c:v>38</c:v>
                </c:pt>
                <c:pt idx="31">
                  <c:v>30</c:v>
                </c:pt>
                <c:pt idx="32">
                  <c:v>30</c:v>
                </c:pt>
                <c:pt idx="33">
                  <c:v>35</c:v>
                </c:pt>
                <c:pt idx="34">
                  <c:v>31</c:v>
                </c:pt>
                <c:pt idx="35">
                  <c:v>46</c:v>
                </c:pt>
                <c:pt idx="36">
                  <c:v>37</c:v>
                </c:pt>
                <c:pt idx="37">
                  <c:v>33</c:v>
                </c:pt>
                <c:pt idx="38">
                  <c:v>37</c:v>
                </c:pt>
                <c:pt idx="39">
                  <c:v>33</c:v>
                </c:pt>
                <c:pt idx="40">
                  <c:v>34</c:v>
                </c:pt>
                <c:pt idx="41">
                  <c:v>38</c:v>
                </c:pt>
              </c:numCache>
            </c:numRef>
          </c:xVal>
          <c:yVal>
            <c:numRef>
              <c:f>Sheet1!$B$2:$B$44</c:f>
              <c:numCache>
                <c:formatCode>General</c:formatCode>
                <c:ptCount val="43"/>
                <c:pt idx="0">
                  <c:v>80</c:v>
                </c:pt>
                <c:pt idx="1">
                  <c:v>132</c:v>
                </c:pt>
                <c:pt idx="2">
                  <c:v>140</c:v>
                </c:pt>
                <c:pt idx="3">
                  <c:v>100</c:v>
                </c:pt>
                <c:pt idx="4">
                  <c:v>130</c:v>
                </c:pt>
                <c:pt idx="5">
                  <c:v>104</c:v>
                </c:pt>
                <c:pt idx="6">
                  <c:v>100</c:v>
                </c:pt>
                <c:pt idx="7">
                  <c:v>96</c:v>
                </c:pt>
                <c:pt idx="8">
                  <c:v>132</c:v>
                </c:pt>
                <c:pt idx="9">
                  <c:v>142</c:v>
                </c:pt>
                <c:pt idx="10">
                  <c:v>138</c:v>
                </c:pt>
                <c:pt idx="11">
                  <c:v>140</c:v>
                </c:pt>
                <c:pt idx="12">
                  <c:v>122</c:v>
                </c:pt>
                <c:pt idx="13">
                  <c:v>106</c:v>
                </c:pt>
                <c:pt idx="14">
                  <c:v>124</c:v>
                </c:pt>
                <c:pt idx="15">
                  <c:v>72</c:v>
                </c:pt>
                <c:pt idx="16">
                  <c:v>100</c:v>
                </c:pt>
                <c:pt idx="17">
                  <c:v>110</c:v>
                </c:pt>
                <c:pt idx="18">
                  <c:v>108</c:v>
                </c:pt>
                <c:pt idx="19">
                  <c:v>118</c:v>
                </c:pt>
                <c:pt idx="20">
                  <c:v>84</c:v>
                </c:pt>
                <c:pt idx="21">
                  <c:v>120</c:v>
                </c:pt>
                <c:pt idx="22">
                  <c:v>100</c:v>
                </c:pt>
                <c:pt idx="23">
                  <c:v>90</c:v>
                </c:pt>
                <c:pt idx="24">
                  <c:v>110</c:v>
                </c:pt>
                <c:pt idx="25">
                  <c:v>104</c:v>
                </c:pt>
                <c:pt idx="26">
                  <c:v>86</c:v>
                </c:pt>
                <c:pt idx="27">
                  <c:v>110</c:v>
                </c:pt>
                <c:pt idx="28">
                  <c:v>104</c:v>
                </c:pt>
                <c:pt idx="29">
                  <c:v>136</c:v>
                </c:pt>
                <c:pt idx="30">
                  <c:v>100</c:v>
                </c:pt>
                <c:pt idx="31">
                  <c:v>100</c:v>
                </c:pt>
                <c:pt idx="32">
                  <c:v>98</c:v>
                </c:pt>
                <c:pt idx="33">
                  <c:v>110</c:v>
                </c:pt>
                <c:pt idx="34">
                  <c:v>90</c:v>
                </c:pt>
                <c:pt idx="35">
                  <c:v>130</c:v>
                </c:pt>
                <c:pt idx="36">
                  <c:v>110</c:v>
                </c:pt>
                <c:pt idx="37">
                  <c:v>90</c:v>
                </c:pt>
                <c:pt idx="38">
                  <c:v>140</c:v>
                </c:pt>
                <c:pt idx="39">
                  <c:v>120</c:v>
                </c:pt>
                <c:pt idx="40">
                  <c:v>120</c:v>
                </c:pt>
                <c:pt idx="41">
                  <c:v>110</c:v>
                </c:pt>
              </c:numCache>
            </c:numRef>
          </c:yVal>
        </c:ser>
        <c:axId val="69976064"/>
        <c:axId val="69977984"/>
      </c:scatterChart>
      <c:valAx>
        <c:axId val="69976064"/>
        <c:scaling>
          <c:orientation val="minMax"/>
        </c:scaling>
        <c:axPos val="b"/>
        <c:title>
          <c:tx>
            <c:rich>
              <a:bodyPr/>
              <a:lstStyle/>
              <a:p>
                <a:pPr>
                  <a:defRPr lang="en-IN"/>
                </a:pPr>
                <a:r>
                  <a:rPr lang="en-IN"/>
                  <a:t>STAI-T in the waiting room</a:t>
                </a:r>
              </a:p>
            </c:rich>
          </c:tx>
        </c:title>
        <c:numFmt formatCode="General" sourceLinked="1"/>
        <c:tickLblPos val="nextTo"/>
        <c:txPr>
          <a:bodyPr/>
          <a:lstStyle/>
          <a:p>
            <a:pPr>
              <a:defRPr lang="en-IN"/>
            </a:pPr>
            <a:endParaRPr lang="en-US"/>
          </a:p>
        </c:txPr>
        <c:crossAx val="69977984"/>
        <c:crosses val="autoZero"/>
        <c:crossBetween val="midCat"/>
      </c:valAx>
      <c:valAx>
        <c:axId val="69977984"/>
        <c:scaling>
          <c:orientation val="minMax"/>
        </c:scaling>
        <c:axPos val="l"/>
        <c:majorGridlines/>
        <c:title>
          <c:tx>
            <c:rich>
              <a:bodyPr rot="-5400000" vert="horz"/>
              <a:lstStyle/>
              <a:p>
                <a:pPr>
                  <a:defRPr lang="en-IN"/>
                </a:pPr>
                <a:r>
                  <a:rPr lang="en-IN"/>
                  <a:t>Propofol</a:t>
                </a:r>
                <a:r>
                  <a:rPr lang="en-IN" baseline="0"/>
                  <a:t> Dose (mg)</a:t>
                </a:r>
                <a:endParaRPr lang="en-IN"/>
              </a:p>
            </c:rich>
          </c:tx>
        </c:title>
        <c:numFmt formatCode="General" sourceLinked="1"/>
        <c:tickLblPos val="nextTo"/>
        <c:txPr>
          <a:bodyPr/>
          <a:lstStyle/>
          <a:p>
            <a:pPr>
              <a:defRPr lang="en-IN"/>
            </a:pPr>
            <a:endParaRPr lang="en-US"/>
          </a:p>
        </c:txPr>
        <c:crossAx val="69976064"/>
        <c:crosses val="autoZero"/>
        <c:crossBetween val="midCat"/>
      </c:valAx>
    </c:plotArea>
    <c:legend>
      <c:legendPos val="r"/>
      <c:legendEntry>
        <c:idx val="1"/>
        <c:delete val="1"/>
      </c:legendEntry>
      <c:txPr>
        <a:bodyPr/>
        <a:lstStyle/>
        <a:p>
          <a:pPr>
            <a:defRPr lang="en-IN"/>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4"/>
  <c:chart>
    <c:autoTitleDeleted val="1"/>
    <c:plotArea>
      <c:layout/>
      <c:scatterChart>
        <c:scatterStyle val="lineMarker"/>
        <c:ser>
          <c:idx val="0"/>
          <c:order val="0"/>
          <c:tx>
            <c:strRef>
              <c:f>Sheet1!$B$1</c:f>
              <c:strCache>
                <c:ptCount val="1"/>
                <c:pt idx="0">
                  <c:v>Propofol Dose</c:v>
                </c:pt>
              </c:strCache>
            </c:strRef>
          </c:tx>
          <c:spPr>
            <a:ln w="28575">
              <a:noFill/>
            </a:ln>
          </c:spPr>
          <c:trendline>
            <c:trendlineType val="linear"/>
            <c:forward val="2"/>
          </c:trendline>
          <c:xVal>
            <c:numRef>
              <c:f>Sheet1!$A$2:$A$44</c:f>
              <c:numCache>
                <c:formatCode>General</c:formatCode>
                <c:ptCount val="43"/>
                <c:pt idx="0">
                  <c:v>50</c:v>
                </c:pt>
                <c:pt idx="1">
                  <c:v>50</c:v>
                </c:pt>
                <c:pt idx="2">
                  <c:v>40</c:v>
                </c:pt>
                <c:pt idx="3">
                  <c:v>39</c:v>
                </c:pt>
                <c:pt idx="4">
                  <c:v>40</c:v>
                </c:pt>
                <c:pt idx="5">
                  <c:v>42</c:v>
                </c:pt>
                <c:pt idx="6">
                  <c:v>36</c:v>
                </c:pt>
                <c:pt idx="7">
                  <c:v>42</c:v>
                </c:pt>
                <c:pt idx="8">
                  <c:v>53</c:v>
                </c:pt>
                <c:pt idx="9">
                  <c:v>46</c:v>
                </c:pt>
                <c:pt idx="10">
                  <c:v>46</c:v>
                </c:pt>
                <c:pt idx="11">
                  <c:v>44</c:v>
                </c:pt>
                <c:pt idx="12">
                  <c:v>43</c:v>
                </c:pt>
                <c:pt idx="13">
                  <c:v>41</c:v>
                </c:pt>
                <c:pt idx="14">
                  <c:v>39</c:v>
                </c:pt>
                <c:pt idx="15">
                  <c:v>44</c:v>
                </c:pt>
                <c:pt idx="16">
                  <c:v>44</c:v>
                </c:pt>
                <c:pt idx="17">
                  <c:v>46</c:v>
                </c:pt>
                <c:pt idx="18">
                  <c:v>46</c:v>
                </c:pt>
                <c:pt idx="19">
                  <c:v>42</c:v>
                </c:pt>
                <c:pt idx="20">
                  <c:v>48</c:v>
                </c:pt>
                <c:pt idx="21">
                  <c:v>40</c:v>
                </c:pt>
                <c:pt idx="22">
                  <c:v>34</c:v>
                </c:pt>
                <c:pt idx="23">
                  <c:v>40</c:v>
                </c:pt>
                <c:pt idx="24">
                  <c:v>40</c:v>
                </c:pt>
                <c:pt idx="25">
                  <c:v>38</c:v>
                </c:pt>
                <c:pt idx="26">
                  <c:v>38</c:v>
                </c:pt>
                <c:pt idx="27">
                  <c:v>42</c:v>
                </c:pt>
                <c:pt idx="28">
                  <c:v>44</c:v>
                </c:pt>
                <c:pt idx="29">
                  <c:v>33</c:v>
                </c:pt>
                <c:pt idx="30">
                  <c:v>44</c:v>
                </c:pt>
                <c:pt idx="31">
                  <c:v>40</c:v>
                </c:pt>
                <c:pt idx="32">
                  <c:v>40</c:v>
                </c:pt>
                <c:pt idx="33">
                  <c:v>39</c:v>
                </c:pt>
                <c:pt idx="34">
                  <c:v>54</c:v>
                </c:pt>
                <c:pt idx="35">
                  <c:v>40</c:v>
                </c:pt>
                <c:pt idx="36">
                  <c:v>36</c:v>
                </c:pt>
                <c:pt idx="37">
                  <c:v>40</c:v>
                </c:pt>
                <c:pt idx="38">
                  <c:v>46</c:v>
                </c:pt>
                <c:pt idx="39">
                  <c:v>38</c:v>
                </c:pt>
                <c:pt idx="40">
                  <c:v>33</c:v>
                </c:pt>
              </c:numCache>
            </c:numRef>
          </c:xVal>
          <c:yVal>
            <c:numRef>
              <c:f>Sheet1!$B$2:$B$44</c:f>
              <c:numCache>
                <c:formatCode>General</c:formatCode>
                <c:ptCount val="43"/>
                <c:pt idx="0">
                  <c:v>80</c:v>
                </c:pt>
                <c:pt idx="1">
                  <c:v>132</c:v>
                </c:pt>
                <c:pt idx="2">
                  <c:v>140</c:v>
                </c:pt>
                <c:pt idx="3">
                  <c:v>100</c:v>
                </c:pt>
                <c:pt idx="4">
                  <c:v>130</c:v>
                </c:pt>
                <c:pt idx="5">
                  <c:v>104</c:v>
                </c:pt>
                <c:pt idx="6">
                  <c:v>100</c:v>
                </c:pt>
                <c:pt idx="7">
                  <c:v>96</c:v>
                </c:pt>
                <c:pt idx="8">
                  <c:v>132</c:v>
                </c:pt>
                <c:pt idx="9">
                  <c:v>142</c:v>
                </c:pt>
                <c:pt idx="10">
                  <c:v>138</c:v>
                </c:pt>
                <c:pt idx="11">
                  <c:v>140</c:v>
                </c:pt>
                <c:pt idx="12">
                  <c:v>122</c:v>
                </c:pt>
                <c:pt idx="13">
                  <c:v>106</c:v>
                </c:pt>
                <c:pt idx="14">
                  <c:v>124</c:v>
                </c:pt>
                <c:pt idx="15">
                  <c:v>72</c:v>
                </c:pt>
                <c:pt idx="16">
                  <c:v>100</c:v>
                </c:pt>
                <c:pt idx="17">
                  <c:v>110</c:v>
                </c:pt>
                <c:pt idx="18">
                  <c:v>108</c:v>
                </c:pt>
                <c:pt idx="19">
                  <c:v>118</c:v>
                </c:pt>
                <c:pt idx="20">
                  <c:v>84</c:v>
                </c:pt>
                <c:pt idx="21">
                  <c:v>120</c:v>
                </c:pt>
                <c:pt idx="22">
                  <c:v>100</c:v>
                </c:pt>
                <c:pt idx="23">
                  <c:v>90</c:v>
                </c:pt>
                <c:pt idx="24">
                  <c:v>110</c:v>
                </c:pt>
                <c:pt idx="25">
                  <c:v>104</c:v>
                </c:pt>
                <c:pt idx="26">
                  <c:v>86</c:v>
                </c:pt>
                <c:pt idx="27">
                  <c:v>110</c:v>
                </c:pt>
                <c:pt idx="28">
                  <c:v>104</c:v>
                </c:pt>
                <c:pt idx="29">
                  <c:v>136</c:v>
                </c:pt>
                <c:pt idx="30">
                  <c:v>100</c:v>
                </c:pt>
                <c:pt idx="31">
                  <c:v>100</c:v>
                </c:pt>
                <c:pt idx="32">
                  <c:v>98</c:v>
                </c:pt>
                <c:pt idx="33">
                  <c:v>110</c:v>
                </c:pt>
                <c:pt idx="34">
                  <c:v>90</c:v>
                </c:pt>
                <c:pt idx="35">
                  <c:v>130</c:v>
                </c:pt>
                <c:pt idx="36">
                  <c:v>110</c:v>
                </c:pt>
                <c:pt idx="37">
                  <c:v>90</c:v>
                </c:pt>
                <c:pt idx="38">
                  <c:v>140</c:v>
                </c:pt>
                <c:pt idx="39">
                  <c:v>120</c:v>
                </c:pt>
                <c:pt idx="40">
                  <c:v>120</c:v>
                </c:pt>
                <c:pt idx="41">
                  <c:v>110</c:v>
                </c:pt>
              </c:numCache>
            </c:numRef>
          </c:yVal>
        </c:ser>
        <c:axId val="71307264"/>
        <c:axId val="71309184"/>
      </c:scatterChart>
      <c:valAx>
        <c:axId val="71307264"/>
        <c:scaling>
          <c:orientation val="minMax"/>
        </c:scaling>
        <c:axPos val="b"/>
        <c:title>
          <c:tx>
            <c:rich>
              <a:bodyPr/>
              <a:lstStyle/>
              <a:p>
                <a:pPr>
                  <a:defRPr lang="en-IN"/>
                </a:pPr>
                <a:r>
                  <a:rPr lang="en-IN"/>
                  <a:t>STAI-S in</a:t>
                </a:r>
                <a:r>
                  <a:rPr lang="en-IN" baseline="0"/>
                  <a:t> the waiting room</a:t>
                </a:r>
                <a:endParaRPr lang="en-IN"/>
              </a:p>
            </c:rich>
          </c:tx>
        </c:title>
        <c:numFmt formatCode="General" sourceLinked="1"/>
        <c:tickLblPos val="nextTo"/>
        <c:txPr>
          <a:bodyPr/>
          <a:lstStyle/>
          <a:p>
            <a:pPr>
              <a:defRPr lang="en-IN"/>
            </a:pPr>
            <a:endParaRPr lang="en-US"/>
          </a:p>
        </c:txPr>
        <c:crossAx val="71309184"/>
        <c:crosses val="autoZero"/>
        <c:crossBetween val="midCat"/>
      </c:valAx>
      <c:valAx>
        <c:axId val="71309184"/>
        <c:scaling>
          <c:orientation val="minMax"/>
        </c:scaling>
        <c:axPos val="l"/>
        <c:majorGridlines/>
        <c:title>
          <c:tx>
            <c:rich>
              <a:bodyPr rot="-5400000" vert="horz"/>
              <a:lstStyle/>
              <a:p>
                <a:pPr>
                  <a:defRPr lang="en-IN"/>
                </a:pPr>
                <a:r>
                  <a:rPr lang="en-IN"/>
                  <a:t>Propofol  </a:t>
                </a:r>
                <a:r>
                  <a:rPr lang="en-IN" baseline="0"/>
                  <a:t> Dose (mg)</a:t>
                </a:r>
                <a:endParaRPr lang="en-IN"/>
              </a:p>
            </c:rich>
          </c:tx>
        </c:title>
        <c:numFmt formatCode="General" sourceLinked="1"/>
        <c:tickLblPos val="nextTo"/>
        <c:txPr>
          <a:bodyPr/>
          <a:lstStyle/>
          <a:p>
            <a:pPr>
              <a:defRPr lang="en-IN"/>
            </a:pPr>
            <a:endParaRPr lang="en-US"/>
          </a:p>
        </c:txPr>
        <c:crossAx val="71307264"/>
        <c:crosses val="autoZero"/>
        <c:crossBetween val="midCat"/>
      </c:valAx>
    </c:plotArea>
    <c:legend>
      <c:legendPos val="r"/>
      <c:legendEntry>
        <c:idx val="1"/>
        <c:delete val="1"/>
      </c:legendEntry>
      <c:txPr>
        <a:bodyPr/>
        <a:lstStyle/>
        <a:p>
          <a:pPr>
            <a:defRPr lang="en-IN"/>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style val="5"/>
  <c:chart>
    <c:autoTitleDeleted val="1"/>
    <c:plotArea>
      <c:layout/>
      <c:scatterChart>
        <c:scatterStyle val="lineMarker"/>
        <c:ser>
          <c:idx val="0"/>
          <c:order val="0"/>
          <c:tx>
            <c:strRef>
              <c:f>Sheet1!$B$1</c:f>
              <c:strCache>
                <c:ptCount val="1"/>
                <c:pt idx="0">
                  <c:v>Prpofol Dose</c:v>
                </c:pt>
              </c:strCache>
            </c:strRef>
          </c:tx>
          <c:spPr>
            <a:ln w="28575">
              <a:noFill/>
            </a:ln>
          </c:spPr>
          <c:trendline>
            <c:trendlineType val="linear"/>
            <c:forward val="2"/>
          </c:trendline>
          <c:xVal>
            <c:numRef>
              <c:f>Sheet1!$A$2:$A$44</c:f>
              <c:numCache>
                <c:formatCode>General</c:formatCode>
                <c:ptCount val="43"/>
                <c:pt idx="0">
                  <c:v>47</c:v>
                </c:pt>
                <c:pt idx="1">
                  <c:v>50</c:v>
                </c:pt>
                <c:pt idx="2">
                  <c:v>50</c:v>
                </c:pt>
                <c:pt idx="3">
                  <c:v>40</c:v>
                </c:pt>
                <c:pt idx="4">
                  <c:v>39</c:v>
                </c:pt>
                <c:pt idx="5">
                  <c:v>40</c:v>
                </c:pt>
                <c:pt idx="6">
                  <c:v>42</c:v>
                </c:pt>
                <c:pt idx="7">
                  <c:v>36</c:v>
                </c:pt>
                <c:pt idx="8">
                  <c:v>42</c:v>
                </c:pt>
                <c:pt idx="9">
                  <c:v>53</c:v>
                </c:pt>
                <c:pt idx="10">
                  <c:v>46</c:v>
                </c:pt>
                <c:pt idx="11">
                  <c:v>46</c:v>
                </c:pt>
                <c:pt idx="12">
                  <c:v>44</c:v>
                </c:pt>
                <c:pt idx="13">
                  <c:v>43</c:v>
                </c:pt>
                <c:pt idx="14">
                  <c:v>41</c:v>
                </c:pt>
                <c:pt idx="15">
                  <c:v>39</c:v>
                </c:pt>
                <c:pt idx="16">
                  <c:v>44</c:v>
                </c:pt>
                <c:pt idx="17">
                  <c:v>44</c:v>
                </c:pt>
                <c:pt idx="18">
                  <c:v>46</c:v>
                </c:pt>
                <c:pt idx="19">
                  <c:v>46</c:v>
                </c:pt>
                <c:pt idx="20">
                  <c:v>42</c:v>
                </c:pt>
                <c:pt idx="21">
                  <c:v>48</c:v>
                </c:pt>
                <c:pt idx="22">
                  <c:v>40</c:v>
                </c:pt>
                <c:pt idx="23">
                  <c:v>34</c:v>
                </c:pt>
                <c:pt idx="24">
                  <c:v>40</c:v>
                </c:pt>
                <c:pt idx="25">
                  <c:v>40</c:v>
                </c:pt>
                <c:pt idx="26">
                  <c:v>38</c:v>
                </c:pt>
                <c:pt idx="27">
                  <c:v>38</c:v>
                </c:pt>
                <c:pt idx="28">
                  <c:v>42</c:v>
                </c:pt>
                <c:pt idx="29">
                  <c:v>44</c:v>
                </c:pt>
                <c:pt idx="30">
                  <c:v>33</c:v>
                </c:pt>
                <c:pt idx="31">
                  <c:v>44</c:v>
                </c:pt>
                <c:pt idx="32">
                  <c:v>40</c:v>
                </c:pt>
                <c:pt idx="33">
                  <c:v>40</c:v>
                </c:pt>
                <c:pt idx="34">
                  <c:v>39</c:v>
                </c:pt>
                <c:pt idx="35">
                  <c:v>54</c:v>
                </c:pt>
                <c:pt idx="36">
                  <c:v>40</c:v>
                </c:pt>
                <c:pt idx="37">
                  <c:v>36</c:v>
                </c:pt>
                <c:pt idx="38">
                  <c:v>40</c:v>
                </c:pt>
                <c:pt idx="39">
                  <c:v>46</c:v>
                </c:pt>
                <c:pt idx="40">
                  <c:v>38</c:v>
                </c:pt>
                <c:pt idx="41">
                  <c:v>33</c:v>
                </c:pt>
              </c:numCache>
            </c:numRef>
          </c:xVal>
          <c:yVal>
            <c:numRef>
              <c:f>Sheet1!$B$2:$B$44</c:f>
              <c:numCache>
                <c:formatCode>General</c:formatCode>
                <c:ptCount val="43"/>
                <c:pt idx="0">
                  <c:v>80</c:v>
                </c:pt>
                <c:pt idx="1">
                  <c:v>132</c:v>
                </c:pt>
                <c:pt idx="2">
                  <c:v>140</c:v>
                </c:pt>
                <c:pt idx="3">
                  <c:v>100</c:v>
                </c:pt>
                <c:pt idx="4">
                  <c:v>130</c:v>
                </c:pt>
                <c:pt idx="5">
                  <c:v>104</c:v>
                </c:pt>
                <c:pt idx="6">
                  <c:v>100</c:v>
                </c:pt>
                <c:pt idx="7">
                  <c:v>96</c:v>
                </c:pt>
                <c:pt idx="8">
                  <c:v>132</c:v>
                </c:pt>
                <c:pt idx="9">
                  <c:v>142</c:v>
                </c:pt>
                <c:pt idx="10">
                  <c:v>138</c:v>
                </c:pt>
                <c:pt idx="11">
                  <c:v>140</c:v>
                </c:pt>
                <c:pt idx="12">
                  <c:v>122</c:v>
                </c:pt>
                <c:pt idx="13">
                  <c:v>106</c:v>
                </c:pt>
                <c:pt idx="14">
                  <c:v>124</c:v>
                </c:pt>
                <c:pt idx="15">
                  <c:v>72</c:v>
                </c:pt>
                <c:pt idx="16">
                  <c:v>100</c:v>
                </c:pt>
                <c:pt idx="17">
                  <c:v>110</c:v>
                </c:pt>
                <c:pt idx="18">
                  <c:v>108</c:v>
                </c:pt>
                <c:pt idx="19">
                  <c:v>118</c:v>
                </c:pt>
                <c:pt idx="20">
                  <c:v>84</c:v>
                </c:pt>
                <c:pt idx="21">
                  <c:v>120</c:v>
                </c:pt>
                <c:pt idx="22">
                  <c:v>100</c:v>
                </c:pt>
                <c:pt idx="23">
                  <c:v>90</c:v>
                </c:pt>
                <c:pt idx="24">
                  <c:v>110</c:v>
                </c:pt>
                <c:pt idx="25">
                  <c:v>104</c:v>
                </c:pt>
                <c:pt idx="26">
                  <c:v>86</c:v>
                </c:pt>
                <c:pt idx="27">
                  <c:v>110</c:v>
                </c:pt>
                <c:pt idx="28">
                  <c:v>104</c:v>
                </c:pt>
                <c:pt idx="29">
                  <c:v>136</c:v>
                </c:pt>
                <c:pt idx="30">
                  <c:v>100</c:v>
                </c:pt>
                <c:pt idx="31">
                  <c:v>100</c:v>
                </c:pt>
                <c:pt idx="32">
                  <c:v>98</c:v>
                </c:pt>
                <c:pt idx="33">
                  <c:v>110</c:v>
                </c:pt>
                <c:pt idx="34">
                  <c:v>90</c:v>
                </c:pt>
                <c:pt idx="35">
                  <c:v>130</c:v>
                </c:pt>
                <c:pt idx="36">
                  <c:v>110</c:v>
                </c:pt>
                <c:pt idx="37">
                  <c:v>90</c:v>
                </c:pt>
                <c:pt idx="38">
                  <c:v>140</c:v>
                </c:pt>
                <c:pt idx="39">
                  <c:v>120</c:v>
                </c:pt>
                <c:pt idx="40">
                  <c:v>120</c:v>
                </c:pt>
                <c:pt idx="41">
                  <c:v>110</c:v>
                </c:pt>
              </c:numCache>
            </c:numRef>
          </c:yVal>
        </c:ser>
        <c:axId val="71347584"/>
        <c:axId val="71357952"/>
      </c:scatterChart>
      <c:valAx>
        <c:axId val="71347584"/>
        <c:scaling>
          <c:orientation val="minMax"/>
        </c:scaling>
        <c:axPos val="b"/>
        <c:title>
          <c:tx>
            <c:rich>
              <a:bodyPr/>
              <a:lstStyle/>
              <a:p>
                <a:pPr>
                  <a:defRPr lang="en-IN"/>
                </a:pPr>
                <a:r>
                  <a:rPr lang="en-IN"/>
                  <a:t>STAI-S in the operating room</a:t>
                </a:r>
              </a:p>
            </c:rich>
          </c:tx>
        </c:title>
        <c:numFmt formatCode="General" sourceLinked="1"/>
        <c:tickLblPos val="nextTo"/>
        <c:txPr>
          <a:bodyPr/>
          <a:lstStyle/>
          <a:p>
            <a:pPr>
              <a:defRPr lang="en-IN"/>
            </a:pPr>
            <a:endParaRPr lang="en-US"/>
          </a:p>
        </c:txPr>
        <c:crossAx val="71357952"/>
        <c:crosses val="autoZero"/>
        <c:crossBetween val="midCat"/>
      </c:valAx>
      <c:valAx>
        <c:axId val="71357952"/>
        <c:scaling>
          <c:orientation val="minMax"/>
        </c:scaling>
        <c:axPos val="l"/>
        <c:majorGridlines/>
        <c:title>
          <c:tx>
            <c:rich>
              <a:bodyPr rot="-5400000" vert="horz"/>
              <a:lstStyle/>
              <a:p>
                <a:pPr>
                  <a:defRPr lang="en-IN"/>
                </a:pPr>
                <a:r>
                  <a:rPr lang="en-IN"/>
                  <a:t>Propofol Dose (mg)</a:t>
                </a:r>
              </a:p>
            </c:rich>
          </c:tx>
        </c:title>
        <c:numFmt formatCode="General" sourceLinked="1"/>
        <c:tickLblPos val="nextTo"/>
        <c:txPr>
          <a:bodyPr/>
          <a:lstStyle/>
          <a:p>
            <a:pPr>
              <a:defRPr lang="en-IN"/>
            </a:pPr>
            <a:endParaRPr lang="en-US"/>
          </a:p>
        </c:txPr>
        <c:crossAx val="71347584"/>
        <c:crosses val="autoZero"/>
        <c:crossBetween val="midCat"/>
      </c:valAx>
    </c:plotArea>
    <c:legend>
      <c:legendPos val="r"/>
      <c:legendEntry>
        <c:idx val="1"/>
        <c:delete val="1"/>
      </c:legendEntry>
      <c:txPr>
        <a:bodyPr/>
        <a:lstStyle/>
        <a:p>
          <a:pPr>
            <a:defRPr lang="en-IN"/>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scatterChart>
        <c:scatterStyle val="lineMarker"/>
        <c:ser>
          <c:idx val="0"/>
          <c:order val="0"/>
          <c:tx>
            <c:strRef>
              <c:f>Sheet1!$B$1</c:f>
              <c:strCache>
                <c:ptCount val="1"/>
                <c:pt idx="0">
                  <c:v>Propofol Dose</c:v>
                </c:pt>
              </c:strCache>
            </c:strRef>
          </c:tx>
          <c:spPr>
            <a:ln w="28575">
              <a:noFill/>
            </a:ln>
          </c:spPr>
          <c:trendline>
            <c:trendlineType val="linear"/>
            <c:forward val="2"/>
          </c:trendline>
          <c:xVal>
            <c:numRef>
              <c:f>Sheet1!$A$2:$A$44</c:f>
              <c:numCache>
                <c:formatCode>General</c:formatCode>
                <c:ptCount val="43"/>
                <c:pt idx="0">
                  <c:v>100</c:v>
                </c:pt>
                <c:pt idx="1">
                  <c:v>126</c:v>
                </c:pt>
                <c:pt idx="2">
                  <c:v>124</c:v>
                </c:pt>
                <c:pt idx="3">
                  <c:v>100</c:v>
                </c:pt>
                <c:pt idx="4">
                  <c:v>123</c:v>
                </c:pt>
                <c:pt idx="5">
                  <c:v>110</c:v>
                </c:pt>
                <c:pt idx="6">
                  <c:v>110</c:v>
                </c:pt>
                <c:pt idx="7">
                  <c:v>100</c:v>
                </c:pt>
                <c:pt idx="8">
                  <c:v>124</c:v>
                </c:pt>
                <c:pt idx="9">
                  <c:v>126</c:v>
                </c:pt>
                <c:pt idx="10">
                  <c:v>132</c:v>
                </c:pt>
                <c:pt idx="11">
                  <c:v>124</c:v>
                </c:pt>
                <c:pt idx="12">
                  <c:v>126</c:v>
                </c:pt>
                <c:pt idx="13">
                  <c:v>119</c:v>
                </c:pt>
                <c:pt idx="14">
                  <c:v>115</c:v>
                </c:pt>
                <c:pt idx="15">
                  <c:v>98</c:v>
                </c:pt>
                <c:pt idx="16">
                  <c:v>117</c:v>
                </c:pt>
                <c:pt idx="17">
                  <c:v>120</c:v>
                </c:pt>
                <c:pt idx="18">
                  <c:v>112</c:v>
                </c:pt>
                <c:pt idx="19">
                  <c:v>100</c:v>
                </c:pt>
                <c:pt idx="20">
                  <c:v>114</c:v>
                </c:pt>
                <c:pt idx="21">
                  <c:v>123</c:v>
                </c:pt>
                <c:pt idx="22">
                  <c:v>108</c:v>
                </c:pt>
                <c:pt idx="23">
                  <c:v>82</c:v>
                </c:pt>
                <c:pt idx="24">
                  <c:v>112</c:v>
                </c:pt>
                <c:pt idx="25">
                  <c:v>108</c:v>
                </c:pt>
                <c:pt idx="26">
                  <c:v>109</c:v>
                </c:pt>
                <c:pt idx="27">
                  <c:v>110</c:v>
                </c:pt>
                <c:pt idx="28">
                  <c:v>124</c:v>
                </c:pt>
                <c:pt idx="29">
                  <c:v>124</c:v>
                </c:pt>
                <c:pt idx="30">
                  <c:v>68</c:v>
                </c:pt>
                <c:pt idx="31">
                  <c:v>119</c:v>
                </c:pt>
                <c:pt idx="32">
                  <c:v>116</c:v>
                </c:pt>
                <c:pt idx="33">
                  <c:v>108</c:v>
                </c:pt>
                <c:pt idx="34">
                  <c:v>104</c:v>
                </c:pt>
                <c:pt idx="35">
                  <c:v>121</c:v>
                </c:pt>
                <c:pt idx="36">
                  <c:v>122</c:v>
                </c:pt>
                <c:pt idx="37">
                  <c:v>105</c:v>
                </c:pt>
                <c:pt idx="38">
                  <c:v>129</c:v>
                </c:pt>
                <c:pt idx="39">
                  <c:v>123</c:v>
                </c:pt>
                <c:pt idx="40">
                  <c:v>115</c:v>
                </c:pt>
                <c:pt idx="41">
                  <c:v>107</c:v>
                </c:pt>
              </c:numCache>
            </c:numRef>
          </c:xVal>
          <c:yVal>
            <c:numRef>
              <c:f>Sheet1!$B$2:$B$44</c:f>
              <c:numCache>
                <c:formatCode>General</c:formatCode>
                <c:ptCount val="43"/>
                <c:pt idx="0">
                  <c:v>80</c:v>
                </c:pt>
                <c:pt idx="1">
                  <c:v>132</c:v>
                </c:pt>
                <c:pt idx="2">
                  <c:v>140</c:v>
                </c:pt>
                <c:pt idx="3">
                  <c:v>100</c:v>
                </c:pt>
                <c:pt idx="4">
                  <c:v>130</c:v>
                </c:pt>
                <c:pt idx="5">
                  <c:v>104</c:v>
                </c:pt>
                <c:pt idx="6">
                  <c:v>100</c:v>
                </c:pt>
                <c:pt idx="7">
                  <c:v>96</c:v>
                </c:pt>
                <c:pt idx="8">
                  <c:v>132</c:v>
                </c:pt>
                <c:pt idx="9">
                  <c:v>142</c:v>
                </c:pt>
                <c:pt idx="10">
                  <c:v>138</c:v>
                </c:pt>
                <c:pt idx="11">
                  <c:v>140</c:v>
                </c:pt>
                <c:pt idx="12">
                  <c:v>122</c:v>
                </c:pt>
                <c:pt idx="13">
                  <c:v>106</c:v>
                </c:pt>
                <c:pt idx="14">
                  <c:v>124</c:v>
                </c:pt>
                <c:pt idx="15">
                  <c:v>72</c:v>
                </c:pt>
                <c:pt idx="16">
                  <c:v>100</c:v>
                </c:pt>
                <c:pt idx="17">
                  <c:v>110</c:v>
                </c:pt>
                <c:pt idx="18">
                  <c:v>108</c:v>
                </c:pt>
                <c:pt idx="19">
                  <c:v>118</c:v>
                </c:pt>
                <c:pt idx="20">
                  <c:v>84</c:v>
                </c:pt>
                <c:pt idx="21">
                  <c:v>120</c:v>
                </c:pt>
                <c:pt idx="22">
                  <c:v>100</c:v>
                </c:pt>
                <c:pt idx="23">
                  <c:v>90</c:v>
                </c:pt>
                <c:pt idx="24">
                  <c:v>110</c:v>
                </c:pt>
                <c:pt idx="25">
                  <c:v>104</c:v>
                </c:pt>
                <c:pt idx="26">
                  <c:v>86</c:v>
                </c:pt>
                <c:pt idx="27">
                  <c:v>110</c:v>
                </c:pt>
                <c:pt idx="28">
                  <c:v>104</c:v>
                </c:pt>
                <c:pt idx="29">
                  <c:v>136</c:v>
                </c:pt>
                <c:pt idx="30">
                  <c:v>100</c:v>
                </c:pt>
                <c:pt idx="31">
                  <c:v>100</c:v>
                </c:pt>
                <c:pt idx="32">
                  <c:v>98</c:v>
                </c:pt>
                <c:pt idx="33">
                  <c:v>110</c:v>
                </c:pt>
                <c:pt idx="34">
                  <c:v>90</c:v>
                </c:pt>
                <c:pt idx="35">
                  <c:v>130</c:v>
                </c:pt>
                <c:pt idx="36">
                  <c:v>110</c:v>
                </c:pt>
                <c:pt idx="37">
                  <c:v>90</c:v>
                </c:pt>
                <c:pt idx="38">
                  <c:v>140</c:v>
                </c:pt>
                <c:pt idx="39">
                  <c:v>120</c:v>
                </c:pt>
                <c:pt idx="40">
                  <c:v>120</c:v>
                </c:pt>
                <c:pt idx="41">
                  <c:v>110</c:v>
                </c:pt>
              </c:numCache>
            </c:numRef>
          </c:yVal>
        </c:ser>
        <c:axId val="72088576"/>
        <c:axId val="73139328"/>
      </c:scatterChart>
      <c:valAx>
        <c:axId val="72088576"/>
        <c:scaling>
          <c:orientation val="minMax"/>
        </c:scaling>
        <c:axPos val="b"/>
        <c:title>
          <c:tx>
            <c:rich>
              <a:bodyPr/>
              <a:lstStyle/>
              <a:p>
                <a:pPr>
                  <a:defRPr lang="en-IN"/>
                </a:pPr>
                <a:r>
                  <a:rPr lang="en-IN"/>
                  <a:t>H</a:t>
                </a:r>
                <a:r>
                  <a:rPr lang="en-IN" baseline="0"/>
                  <a:t>R in the operating room (bpm)</a:t>
                </a:r>
                <a:endParaRPr lang="en-IN"/>
              </a:p>
            </c:rich>
          </c:tx>
        </c:title>
        <c:numFmt formatCode="General" sourceLinked="1"/>
        <c:tickLblPos val="nextTo"/>
        <c:txPr>
          <a:bodyPr/>
          <a:lstStyle/>
          <a:p>
            <a:pPr>
              <a:defRPr lang="en-IN"/>
            </a:pPr>
            <a:endParaRPr lang="en-US"/>
          </a:p>
        </c:txPr>
        <c:crossAx val="73139328"/>
        <c:crosses val="autoZero"/>
        <c:crossBetween val="midCat"/>
      </c:valAx>
      <c:valAx>
        <c:axId val="73139328"/>
        <c:scaling>
          <c:orientation val="minMax"/>
        </c:scaling>
        <c:axPos val="l"/>
        <c:majorGridlines/>
        <c:title>
          <c:tx>
            <c:rich>
              <a:bodyPr rot="-5400000" vert="horz"/>
              <a:lstStyle/>
              <a:p>
                <a:pPr>
                  <a:defRPr lang="en-IN"/>
                </a:pPr>
                <a:r>
                  <a:rPr lang="en-IN"/>
                  <a:t>Propofol</a:t>
                </a:r>
                <a:r>
                  <a:rPr lang="en-IN" baseline="0"/>
                  <a:t> Dose (mg)</a:t>
                </a:r>
                <a:endParaRPr lang="en-IN"/>
              </a:p>
            </c:rich>
          </c:tx>
        </c:title>
        <c:numFmt formatCode="General" sourceLinked="1"/>
        <c:tickLblPos val="nextTo"/>
        <c:txPr>
          <a:bodyPr/>
          <a:lstStyle/>
          <a:p>
            <a:pPr>
              <a:defRPr lang="en-IN"/>
            </a:pPr>
            <a:endParaRPr lang="en-US"/>
          </a:p>
        </c:txPr>
        <c:crossAx val="72088576"/>
        <c:crosses val="autoZero"/>
        <c:crossBetween val="midCat"/>
      </c:valAx>
    </c:plotArea>
    <c:legend>
      <c:legendPos val="r"/>
      <c:legendEntry>
        <c:idx val="1"/>
        <c:delete val="1"/>
      </c:legendEntry>
      <c:layout>
        <c:manualLayout>
          <c:xMode val="edge"/>
          <c:yMode val="edge"/>
          <c:x val="0.70840277777777749"/>
          <c:y val="0.43221066116735579"/>
          <c:w val="0.28002314814814816"/>
          <c:h val="0.14351518560180043"/>
        </c:manualLayout>
      </c:layout>
      <c:txPr>
        <a:bodyPr/>
        <a:lstStyle/>
        <a:p>
          <a:pPr>
            <a:defRPr lang="en-IN"/>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style val="8"/>
  <c:chart>
    <c:autoTitleDeleted val="1"/>
    <c:plotArea>
      <c:layout/>
      <c:scatterChart>
        <c:scatterStyle val="lineMarker"/>
        <c:ser>
          <c:idx val="0"/>
          <c:order val="0"/>
          <c:tx>
            <c:strRef>
              <c:f>Sheet1!$B$1</c:f>
              <c:strCache>
                <c:ptCount val="1"/>
                <c:pt idx="0">
                  <c:v>HR </c:v>
                </c:pt>
              </c:strCache>
            </c:strRef>
          </c:tx>
          <c:spPr>
            <a:ln w="28575">
              <a:noFill/>
            </a:ln>
          </c:spPr>
          <c:trendline>
            <c:trendlineType val="linear"/>
            <c:forward val="2"/>
          </c:trendline>
          <c:xVal>
            <c:numRef>
              <c:f>Sheet1!$A$2:$A$44</c:f>
              <c:numCache>
                <c:formatCode>General</c:formatCode>
                <c:ptCount val="43"/>
                <c:pt idx="0">
                  <c:v>47</c:v>
                </c:pt>
                <c:pt idx="1">
                  <c:v>50</c:v>
                </c:pt>
                <c:pt idx="2">
                  <c:v>50</c:v>
                </c:pt>
                <c:pt idx="3">
                  <c:v>40</c:v>
                </c:pt>
                <c:pt idx="4">
                  <c:v>39</c:v>
                </c:pt>
                <c:pt idx="5">
                  <c:v>40</c:v>
                </c:pt>
                <c:pt idx="6">
                  <c:v>42</c:v>
                </c:pt>
                <c:pt idx="7">
                  <c:v>36</c:v>
                </c:pt>
                <c:pt idx="8">
                  <c:v>42</c:v>
                </c:pt>
                <c:pt idx="9">
                  <c:v>53</c:v>
                </c:pt>
                <c:pt idx="10">
                  <c:v>46</c:v>
                </c:pt>
                <c:pt idx="11">
                  <c:v>46</c:v>
                </c:pt>
                <c:pt idx="12">
                  <c:v>44</c:v>
                </c:pt>
                <c:pt idx="13">
                  <c:v>43</c:v>
                </c:pt>
                <c:pt idx="14">
                  <c:v>41</c:v>
                </c:pt>
                <c:pt idx="15">
                  <c:v>39</c:v>
                </c:pt>
                <c:pt idx="16">
                  <c:v>44</c:v>
                </c:pt>
                <c:pt idx="17">
                  <c:v>44</c:v>
                </c:pt>
                <c:pt idx="18">
                  <c:v>46</c:v>
                </c:pt>
                <c:pt idx="19">
                  <c:v>46</c:v>
                </c:pt>
                <c:pt idx="20">
                  <c:v>42</c:v>
                </c:pt>
                <c:pt idx="21">
                  <c:v>48</c:v>
                </c:pt>
                <c:pt idx="22">
                  <c:v>40</c:v>
                </c:pt>
                <c:pt idx="23">
                  <c:v>34</c:v>
                </c:pt>
                <c:pt idx="24">
                  <c:v>40</c:v>
                </c:pt>
                <c:pt idx="25">
                  <c:v>40</c:v>
                </c:pt>
                <c:pt idx="26">
                  <c:v>38</c:v>
                </c:pt>
                <c:pt idx="27">
                  <c:v>38</c:v>
                </c:pt>
                <c:pt idx="28">
                  <c:v>42</c:v>
                </c:pt>
                <c:pt idx="29">
                  <c:v>44</c:v>
                </c:pt>
                <c:pt idx="30">
                  <c:v>33</c:v>
                </c:pt>
                <c:pt idx="31">
                  <c:v>44</c:v>
                </c:pt>
                <c:pt idx="32">
                  <c:v>40</c:v>
                </c:pt>
                <c:pt idx="33">
                  <c:v>40</c:v>
                </c:pt>
                <c:pt idx="34">
                  <c:v>39</c:v>
                </c:pt>
                <c:pt idx="35">
                  <c:v>54</c:v>
                </c:pt>
                <c:pt idx="36">
                  <c:v>40</c:v>
                </c:pt>
                <c:pt idx="37">
                  <c:v>36</c:v>
                </c:pt>
                <c:pt idx="38">
                  <c:v>40</c:v>
                </c:pt>
                <c:pt idx="39">
                  <c:v>46</c:v>
                </c:pt>
                <c:pt idx="40">
                  <c:v>38</c:v>
                </c:pt>
                <c:pt idx="41">
                  <c:v>33</c:v>
                </c:pt>
              </c:numCache>
            </c:numRef>
          </c:xVal>
          <c:yVal>
            <c:numRef>
              <c:f>Sheet1!$B$2:$B$44</c:f>
              <c:numCache>
                <c:formatCode>General</c:formatCode>
                <c:ptCount val="43"/>
                <c:pt idx="0">
                  <c:v>100</c:v>
                </c:pt>
                <c:pt idx="1">
                  <c:v>126</c:v>
                </c:pt>
                <c:pt idx="2">
                  <c:v>124</c:v>
                </c:pt>
                <c:pt idx="3">
                  <c:v>100</c:v>
                </c:pt>
                <c:pt idx="4">
                  <c:v>123</c:v>
                </c:pt>
                <c:pt idx="5">
                  <c:v>110</c:v>
                </c:pt>
                <c:pt idx="6">
                  <c:v>110</c:v>
                </c:pt>
                <c:pt idx="7">
                  <c:v>100</c:v>
                </c:pt>
                <c:pt idx="8">
                  <c:v>124</c:v>
                </c:pt>
                <c:pt idx="9">
                  <c:v>126</c:v>
                </c:pt>
                <c:pt idx="10">
                  <c:v>132</c:v>
                </c:pt>
                <c:pt idx="11">
                  <c:v>124</c:v>
                </c:pt>
                <c:pt idx="12">
                  <c:v>126</c:v>
                </c:pt>
                <c:pt idx="13">
                  <c:v>119</c:v>
                </c:pt>
                <c:pt idx="14">
                  <c:v>115</c:v>
                </c:pt>
                <c:pt idx="15">
                  <c:v>98</c:v>
                </c:pt>
                <c:pt idx="16">
                  <c:v>117</c:v>
                </c:pt>
                <c:pt idx="17">
                  <c:v>120</c:v>
                </c:pt>
                <c:pt idx="18">
                  <c:v>112</c:v>
                </c:pt>
                <c:pt idx="19">
                  <c:v>100</c:v>
                </c:pt>
                <c:pt idx="20">
                  <c:v>114</c:v>
                </c:pt>
                <c:pt idx="21">
                  <c:v>123</c:v>
                </c:pt>
                <c:pt idx="22">
                  <c:v>108</c:v>
                </c:pt>
                <c:pt idx="23">
                  <c:v>82</c:v>
                </c:pt>
                <c:pt idx="24">
                  <c:v>112</c:v>
                </c:pt>
                <c:pt idx="25">
                  <c:v>108</c:v>
                </c:pt>
                <c:pt idx="26">
                  <c:v>109</c:v>
                </c:pt>
                <c:pt idx="27">
                  <c:v>110</c:v>
                </c:pt>
                <c:pt idx="28">
                  <c:v>124</c:v>
                </c:pt>
                <c:pt idx="29">
                  <c:v>124</c:v>
                </c:pt>
                <c:pt idx="30">
                  <c:v>68</c:v>
                </c:pt>
                <c:pt idx="31">
                  <c:v>119</c:v>
                </c:pt>
                <c:pt idx="32">
                  <c:v>116</c:v>
                </c:pt>
                <c:pt idx="33">
                  <c:v>108</c:v>
                </c:pt>
                <c:pt idx="34">
                  <c:v>104</c:v>
                </c:pt>
                <c:pt idx="35">
                  <c:v>121</c:v>
                </c:pt>
                <c:pt idx="36">
                  <c:v>122</c:v>
                </c:pt>
                <c:pt idx="37">
                  <c:v>105</c:v>
                </c:pt>
                <c:pt idx="38">
                  <c:v>129</c:v>
                </c:pt>
                <c:pt idx="39">
                  <c:v>123</c:v>
                </c:pt>
                <c:pt idx="40">
                  <c:v>115</c:v>
                </c:pt>
                <c:pt idx="41">
                  <c:v>107</c:v>
                </c:pt>
              </c:numCache>
            </c:numRef>
          </c:yVal>
        </c:ser>
        <c:axId val="73169536"/>
        <c:axId val="73196288"/>
      </c:scatterChart>
      <c:valAx>
        <c:axId val="73169536"/>
        <c:scaling>
          <c:orientation val="minMax"/>
        </c:scaling>
        <c:axPos val="b"/>
        <c:title>
          <c:tx>
            <c:rich>
              <a:bodyPr/>
              <a:lstStyle/>
              <a:p>
                <a:pPr>
                  <a:defRPr lang="en-IN"/>
                </a:pPr>
                <a:r>
                  <a:rPr lang="en-IN"/>
                  <a:t>STAI-State</a:t>
                </a:r>
                <a:r>
                  <a:rPr lang="en-IN" baseline="0"/>
                  <a:t> in the operating room</a:t>
                </a:r>
                <a:endParaRPr lang="en-IN"/>
              </a:p>
            </c:rich>
          </c:tx>
        </c:title>
        <c:numFmt formatCode="General" sourceLinked="1"/>
        <c:tickLblPos val="nextTo"/>
        <c:txPr>
          <a:bodyPr/>
          <a:lstStyle/>
          <a:p>
            <a:pPr>
              <a:defRPr lang="en-IN"/>
            </a:pPr>
            <a:endParaRPr lang="en-US"/>
          </a:p>
        </c:txPr>
        <c:crossAx val="73196288"/>
        <c:crosses val="autoZero"/>
        <c:crossBetween val="midCat"/>
      </c:valAx>
      <c:valAx>
        <c:axId val="73196288"/>
        <c:scaling>
          <c:orientation val="minMax"/>
        </c:scaling>
        <c:axPos val="l"/>
        <c:majorGridlines/>
        <c:title>
          <c:tx>
            <c:rich>
              <a:bodyPr rot="-5400000" vert="horz"/>
              <a:lstStyle/>
              <a:p>
                <a:pPr>
                  <a:defRPr lang="en-IN"/>
                </a:pPr>
                <a:r>
                  <a:rPr lang="en-IN"/>
                  <a:t>Heart Rate</a:t>
                </a:r>
                <a:r>
                  <a:rPr lang="en-IN" baseline="0"/>
                  <a:t> (bpm)</a:t>
                </a:r>
                <a:endParaRPr lang="en-IN"/>
              </a:p>
            </c:rich>
          </c:tx>
        </c:title>
        <c:numFmt formatCode="General" sourceLinked="1"/>
        <c:tickLblPos val="nextTo"/>
        <c:txPr>
          <a:bodyPr/>
          <a:lstStyle/>
          <a:p>
            <a:pPr>
              <a:defRPr lang="en-IN"/>
            </a:pPr>
            <a:endParaRPr lang="en-US"/>
          </a:p>
        </c:txPr>
        <c:crossAx val="73169536"/>
        <c:crosses val="autoZero"/>
        <c:crossBetween val="midCat"/>
      </c:valAx>
    </c:plotArea>
    <c:legend>
      <c:legendPos val="r"/>
      <c:legendEntry>
        <c:idx val="1"/>
        <c:delete val="1"/>
      </c:legendEntry>
      <c:txPr>
        <a:bodyPr/>
        <a:lstStyle/>
        <a:p>
          <a:pPr>
            <a:defRPr lang="en-IN"/>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2DD1C-806A-4F78-A68C-0BDA3B26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16</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Babrak Manuar</dc:creator>
  <cp:lastModifiedBy>dell</cp:lastModifiedBy>
  <cp:revision>22</cp:revision>
  <dcterms:created xsi:type="dcterms:W3CDTF">2014-07-03T19:58:00Z</dcterms:created>
  <dcterms:modified xsi:type="dcterms:W3CDTF">2016-09-07T19:16:00Z</dcterms:modified>
</cp:coreProperties>
</file>